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18D1" w14:textId="77777777" w:rsidR="00000000" w:rsidRDefault="005E1B04" w:rsidP="00464765">
      <w:r>
        <w:rPr>
          <w:rFonts w:hint="eastAsia"/>
        </w:rPr>
        <w:t>附件：</w:t>
      </w:r>
    </w:p>
    <w:p w14:paraId="7B04B71B" w14:textId="77777777" w:rsidR="005E1B04" w:rsidRPr="0039328F" w:rsidRDefault="005E1B04" w:rsidP="005E1B04">
      <w:pPr>
        <w:jc w:val="center"/>
        <w:rPr>
          <w:rFonts w:ascii="宋体" w:eastAsia="宋体" w:hAnsi="宋体"/>
          <w:sz w:val="28"/>
        </w:rPr>
      </w:pPr>
      <w:proofErr w:type="gramStart"/>
      <w:r w:rsidRPr="0039328F">
        <w:rPr>
          <w:rFonts w:ascii="宋体" w:eastAsia="宋体" w:hAnsi="宋体"/>
          <w:sz w:val="28"/>
        </w:rPr>
        <w:t>锦悦</w:t>
      </w:r>
      <w:r w:rsidR="008A6435">
        <w:rPr>
          <w:rFonts w:ascii="宋体" w:eastAsia="宋体" w:hAnsi="宋体" w:hint="eastAsia"/>
          <w:sz w:val="28"/>
        </w:rPr>
        <w:t>弘信</w:t>
      </w:r>
      <w:proofErr w:type="gramEnd"/>
      <w:r w:rsidR="008A6435">
        <w:rPr>
          <w:rFonts w:ascii="宋体" w:eastAsia="宋体" w:hAnsi="宋体" w:hint="eastAsia"/>
          <w:sz w:val="28"/>
        </w:rPr>
        <w:t>1</w:t>
      </w:r>
      <w:r w:rsidR="0039328F" w:rsidRPr="0039328F">
        <w:rPr>
          <w:rFonts w:ascii="宋体" w:eastAsia="宋体" w:hAnsi="宋体"/>
          <w:sz w:val="28"/>
        </w:rPr>
        <w:t>号私募证券投资基金</w:t>
      </w:r>
      <w:r w:rsidRPr="0039328F">
        <w:rPr>
          <w:rFonts w:ascii="宋体" w:eastAsia="宋体" w:hAnsi="宋体"/>
          <w:sz w:val="28"/>
        </w:rPr>
        <w:t>合同修改内容</w:t>
      </w:r>
    </w:p>
    <w:p w14:paraId="7EF174F3" w14:textId="77777777" w:rsidR="005E1B04" w:rsidRPr="005E1B04" w:rsidRDefault="005E1B04" w:rsidP="005E1B04">
      <w:pPr>
        <w:jc w:val="center"/>
        <w:rPr>
          <w:rFonts w:ascii="宋体" w:eastAsia="宋体" w:hAnsi="宋体"/>
          <w:sz w:val="24"/>
        </w:rPr>
      </w:pPr>
    </w:p>
    <w:p w14:paraId="10208F15"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（一）修订第十一章“私募基金的投资”第（八）条“预警止损机制”第（</w:t>
      </w:r>
      <w:r w:rsidRPr="00BD0CAA">
        <w:rPr>
          <w:rFonts w:ascii="宋体" w:eastAsia="宋体" w:hAnsi="宋体" w:cs="Calibri"/>
          <w:bCs/>
          <w:color w:val="333333"/>
          <w:kern w:val="0"/>
          <w:sz w:val="22"/>
        </w:rPr>
        <w:t>3）款</w:t>
      </w:r>
    </w:p>
    <w:p w14:paraId="4C1DD565"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bCs/>
          <w:color w:val="333333"/>
          <w:kern w:val="0"/>
          <w:sz w:val="22"/>
        </w:rPr>
        <w:t>1、原表述：</w:t>
      </w:r>
    </w:p>
    <w:p w14:paraId="2F906972"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w:t>
      </w:r>
      <w:r w:rsidRPr="00BD0CAA">
        <w:rPr>
          <w:rFonts w:ascii="宋体" w:eastAsia="宋体" w:hAnsi="宋体" w:cs="Calibri"/>
          <w:bCs/>
          <w:color w:val="333333"/>
          <w:kern w:val="0"/>
          <w:sz w:val="22"/>
        </w:rPr>
        <w:t>3）本基金的止损线为基金份额净值0.700元，若T日基金份额净值低于或等于止损线，无论T+1日及之后的基金份额净值是否高于止损线，自私</w:t>
      </w:r>
      <w:proofErr w:type="gramStart"/>
      <w:r w:rsidRPr="00BD0CAA">
        <w:rPr>
          <w:rFonts w:ascii="宋体" w:eastAsia="宋体" w:hAnsi="宋体" w:cs="Calibri"/>
          <w:bCs/>
          <w:color w:val="333333"/>
          <w:kern w:val="0"/>
          <w:sz w:val="22"/>
        </w:rPr>
        <w:t>募</w:t>
      </w:r>
      <w:proofErr w:type="gramEnd"/>
      <w:r w:rsidRPr="00BD0CAA">
        <w:rPr>
          <w:rFonts w:ascii="宋体" w:eastAsia="宋体" w:hAnsi="宋体" w:cs="Calibri"/>
          <w:bCs/>
          <w:color w:val="333333"/>
          <w:kern w:val="0"/>
          <w:sz w:val="22"/>
        </w:rPr>
        <w:t>基金管理人与私募基金托管人核对T日净值一致的时刻、自私</w:t>
      </w:r>
      <w:proofErr w:type="gramStart"/>
      <w:r w:rsidRPr="00BD0CAA">
        <w:rPr>
          <w:rFonts w:ascii="宋体" w:eastAsia="宋体" w:hAnsi="宋体" w:cs="Calibri"/>
          <w:bCs/>
          <w:color w:val="333333"/>
          <w:kern w:val="0"/>
          <w:sz w:val="22"/>
        </w:rPr>
        <w:t>募</w:t>
      </w:r>
      <w:proofErr w:type="gramEnd"/>
      <w:r w:rsidRPr="00BD0CAA">
        <w:rPr>
          <w:rFonts w:ascii="宋体" w:eastAsia="宋体" w:hAnsi="宋体" w:cs="Calibri"/>
          <w:bCs/>
          <w:color w:val="333333"/>
          <w:kern w:val="0"/>
          <w:sz w:val="22"/>
        </w:rPr>
        <w:t>基金管理人收到运营服务机构与私募基金托管人核对一致的T日净值的时刻或者私募基金托管人通知私募基金管理人T日净值小于或等于止损线的时刻较早者开始，本基金不得进行任何开仓行为，私募基金管理人应立即将本基金进行不可逆的变现操作，并在5个交易日内（本基金剩余期限大于或等于5个交易日的情形）或在本基金终止日前（本基金剩余期限</w:t>
      </w:r>
      <w:r w:rsidRPr="00BD0CAA">
        <w:rPr>
          <w:rFonts w:ascii="宋体" w:eastAsia="宋体" w:hAnsi="宋体" w:cs="Calibri" w:hint="eastAsia"/>
          <w:bCs/>
          <w:color w:val="333333"/>
          <w:kern w:val="0"/>
          <w:sz w:val="22"/>
        </w:rPr>
        <w:t>小于</w:t>
      </w:r>
      <w:r w:rsidRPr="00BD0CAA">
        <w:rPr>
          <w:rFonts w:ascii="宋体" w:eastAsia="宋体" w:hAnsi="宋体" w:cs="Calibri"/>
          <w:bCs/>
          <w:color w:val="333333"/>
          <w:kern w:val="0"/>
          <w:sz w:val="22"/>
        </w:rPr>
        <w:t>5个交易日的情形）完成变现操作，将可变现的非现金资产全部变现，本基金终止并根据基金合同的约定进入清算流程。”</w:t>
      </w:r>
    </w:p>
    <w:p w14:paraId="522A0784"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修改为：</w:t>
      </w:r>
    </w:p>
    <w:p w14:paraId="316F2946"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w:t>
      </w:r>
      <w:r w:rsidRPr="00BD0CAA">
        <w:rPr>
          <w:rFonts w:ascii="宋体" w:eastAsia="宋体" w:hAnsi="宋体" w:cs="Calibri"/>
          <w:bCs/>
          <w:color w:val="333333"/>
          <w:kern w:val="0"/>
          <w:sz w:val="22"/>
        </w:rPr>
        <w:t>3）本基金的止损线为基金份额净值0.650元，若T日基金份额净值低于或等于止损线，无论T+1日及之后的基金份额净值是否高于止损线，自私</w:t>
      </w:r>
      <w:proofErr w:type="gramStart"/>
      <w:r w:rsidRPr="00BD0CAA">
        <w:rPr>
          <w:rFonts w:ascii="宋体" w:eastAsia="宋体" w:hAnsi="宋体" w:cs="Calibri"/>
          <w:bCs/>
          <w:color w:val="333333"/>
          <w:kern w:val="0"/>
          <w:sz w:val="22"/>
        </w:rPr>
        <w:t>募</w:t>
      </w:r>
      <w:proofErr w:type="gramEnd"/>
      <w:r w:rsidRPr="00BD0CAA">
        <w:rPr>
          <w:rFonts w:ascii="宋体" w:eastAsia="宋体" w:hAnsi="宋体" w:cs="Calibri"/>
          <w:bCs/>
          <w:color w:val="333333"/>
          <w:kern w:val="0"/>
          <w:sz w:val="22"/>
        </w:rPr>
        <w:t>基金管理人与私募基金托管人核对T日净值一致的时刻、自私</w:t>
      </w:r>
      <w:proofErr w:type="gramStart"/>
      <w:r w:rsidRPr="00BD0CAA">
        <w:rPr>
          <w:rFonts w:ascii="宋体" w:eastAsia="宋体" w:hAnsi="宋体" w:cs="Calibri"/>
          <w:bCs/>
          <w:color w:val="333333"/>
          <w:kern w:val="0"/>
          <w:sz w:val="22"/>
        </w:rPr>
        <w:t>募</w:t>
      </w:r>
      <w:proofErr w:type="gramEnd"/>
      <w:r w:rsidRPr="00BD0CAA">
        <w:rPr>
          <w:rFonts w:ascii="宋体" w:eastAsia="宋体" w:hAnsi="宋体" w:cs="Calibri"/>
          <w:bCs/>
          <w:color w:val="333333"/>
          <w:kern w:val="0"/>
          <w:sz w:val="22"/>
        </w:rPr>
        <w:t>基金管理人收到运营服务机构与私募基金托管人核对一致的T日净值的时刻或者私募基金托管人通知私募基金管理人T日净值小于或等于止损线的时刻较早者开始，本基金不得进行任何开仓行为，私募基金管理人应立即将本基金进行不可逆的变现操作，并在5个交易日内（本基金剩余期限大于或等于5个交易日的情形）或在本基金终止日前（本基金剩余期限</w:t>
      </w:r>
      <w:r w:rsidRPr="00BD0CAA">
        <w:rPr>
          <w:rFonts w:ascii="宋体" w:eastAsia="宋体" w:hAnsi="宋体" w:cs="Calibri" w:hint="eastAsia"/>
          <w:bCs/>
          <w:color w:val="333333"/>
          <w:kern w:val="0"/>
          <w:sz w:val="22"/>
        </w:rPr>
        <w:t>小于</w:t>
      </w:r>
      <w:r w:rsidRPr="00BD0CAA">
        <w:rPr>
          <w:rFonts w:ascii="宋体" w:eastAsia="宋体" w:hAnsi="宋体" w:cs="Calibri"/>
          <w:bCs/>
          <w:color w:val="333333"/>
          <w:kern w:val="0"/>
          <w:sz w:val="22"/>
        </w:rPr>
        <w:t>5个交易日的情形）完成变现操作，将可变现的非现金资产全部变现，本基金终止并根据基金合同的约定进入清算流程。”</w:t>
      </w:r>
    </w:p>
    <w:p w14:paraId="108F1F80"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（二）修订第十一章“私募基金的投资”第（十）条“投资经理”</w:t>
      </w:r>
    </w:p>
    <w:p w14:paraId="5DB82666"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bCs/>
          <w:color w:val="333333"/>
          <w:kern w:val="0"/>
          <w:sz w:val="22"/>
        </w:rPr>
        <w:t>1、原表述：</w:t>
      </w:r>
    </w:p>
    <w:p w14:paraId="7CA5FA08"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“何国虎，男，中国国籍。</w:t>
      </w:r>
      <w:r w:rsidRPr="00BD0CAA">
        <w:rPr>
          <w:rFonts w:ascii="宋体" w:eastAsia="宋体" w:hAnsi="宋体" w:cs="Calibri"/>
          <w:bCs/>
          <w:color w:val="333333"/>
          <w:kern w:val="0"/>
          <w:sz w:val="22"/>
        </w:rPr>
        <w:t>2013年正式从事证券投资行业，有10年的行业证券投资经验。多年的产品投资经历对股票市场有深刻的理解和认知。擅长于短线技术和市场热点分析投资。苏学志，11年金融行业从业经验，曾先后就职于证券公司、私募基金公司等。拥有十余年二级市场投资经验，对二级市场具备独到的见解。在多年的实战过程中，形成了经得住市场考验的价值投资理念和趋势交易模型。”</w:t>
      </w:r>
    </w:p>
    <w:p w14:paraId="06760317"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修改为：</w:t>
      </w:r>
    </w:p>
    <w:p w14:paraId="78613855"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“何国虎，男，中国国籍。</w:t>
      </w:r>
      <w:r w:rsidRPr="00BD0CAA">
        <w:rPr>
          <w:rFonts w:ascii="宋体" w:eastAsia="宋体" w:hAnsi="宋体" w:cs="Calibri"/>
          <w:bCs/>
          <w:color w:val="333333"/>
          <w:kern w:val="0"/>
          <w:sz w:val="22"/>
        </w:rPr>
        <w:t>2013年正式从事证券投资行业，有10年的行业证券投资经验。多年的产品投资经历对股票市场有深刻的理解和认知。擅长于短线技术和市场热点分析投资。”</w:t>
      </w:r>
    </w:p>
    <w:p w14:paraId="44BB10CF"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bCs/>
          <w:color w:val="333333"/>
          <w:kern w:val="0"/>
          <w:sz w:val="22"/>
        </w:rPr>
        <w:lastRenderedPageBreak/>
        <w:t>2、原表述：</w:t>
      </w:r>
    </w:p>
    <w:p w14:paraId="5780BFD2"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“基金管理人可根据业务需要变更投资经理，并在变更后及时告知基金份额持有人和私募基金托管人。私募基金管理人自变更之日起</w:t>
      </w:r>
      <w:r w:rsidRPr="00BD0CAA">
        <w:rPr>
          <w:rFonts w:ascii="宋体" w:eastAsia="宋体" w:hAnsi="宋体" w:cs="Calibri"/>
          <w:bCs/>
          <w:color w:val="333333"/>
          <w:kern w:val="0"/>
          <w:sz w:val="22"/>
        </w:rPr>
        <w:t>3个工作日通过信函、传真、电子邮件、手机短信、网站公告等本合同规定的方式之一通知私募基金份额持有人，即视为履行了告知义务。”</w:t>
      </w:r>
    </w:p>
    <w:p w14:paraId="014BC757"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修改为：</w:t>
      </w:r>
    </w:p>
    <w:p w14:paraId="532B053C"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“基金管理人可根据业务需要变更投资经理，并在变更后及时告知基金份额持有人和私募基金托管人。私募基金管理人自变更之日起</w:t>
      </w:r>
      <w:r w:rsidRPr="00BD0CAA">
        <w:rPr>
          <w:rFonts w:ascii="宋体" w:eastAsia="宋体" w:hAnsi="宋体" w:cs="Calibri"/>
          <w:bCs/>
          <w:color w:val="333333"/>
          <w:kern w:val="0"/>
          <w:sz w:val="22"/>
        </w:rPr>
        <w:t>3个工作日通过信函、传真、电子邮件、手机短信、网站公告等本合同规定的方式之一通知私募基金份额持有人，即视为履行了告知义务。在完成投资经理变更后，若有份额持有人对此提出异议的，私募基金管理人应当及时通过设置临时开放日等方式供该等份额持有人赎回。”</w:t>
      </w:r>
    </w:p>
    <w:p w14:paraId="3474A438"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（三）修订第十九章“风险揭示”第（三）条“基金投资风险揭示”第</w:t>
      </w:r>
      <w:r w:rsidRPr="00BD0CAA">
        <w:rPr>
          <w:rFonts w:ascii="宋体" w:eastAsia="宋体" w:hAnsi="宋体" w:cs="Calibri"/>
          <w:bCs/>
          <w:color w:val="333333"/>
          <w:kern w:val="0"/>
          <w:sz w:val="22"/>
        </w:rPr>
        <w:t>5款“基金产品的特定设计可能引起的特定风险”第5.1项“止损风险”</w:t>
      </w:r>
    </w:p>
    <w:p w14:paraId="79CCB9FA"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bCs/>
          <w:color w:val="333333"/>
          <w:kern w:val="0"/>
          <w:sz w:val="22"/>
        </w:rPr>
        <w:t>1、原表述：</w:t>
      </w:r>
    </w:p>
    <w:p w14:paraId="3E07B085"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“本基金将基金份额净值为</w:t>
      </w:r>
      <w:r w:rsidRPr="00BD0CAA">
        <w:rPr>
          <w:rFonts w:ascii="宋体" w:eastAsia="宋体" w:hAnsi="宋体" w:cs="Calibri"/>
          <w:bCs/>
          <w:color w:val="333333"/>
          <w:kern w:val="0"/>
          <w:sz w:val="22"/>
        </w:rPr>
        <w:t>0.700元设置为止损线（止损线的计算以私募基金管理人与私募基金托管人核对一致的日终净值为准）。本基金如投向场外衍生品或资产管理产品，可能出现因所投产品净值提供频率与本私募基金估值频率不一致，从而导致本私募基金份额净值更新不及时，未及时发现触及止损线的情形；在本基金触及止损线时，可能存在场外衍生品合约无法及时了结、所投资产管理产品无法及时变现等原因，导致本基金最终完成变现后的份额净值低于本基金的止损线。”</w:t>
      </w:r>
    </w:p>
    <w:p w14:paraId="480BAC2B" w14:textId="77777777" w:rsidR="00BD0CAA" w:rsidRPr="00BD0CAA" w:rsidRDefault="00BD0CAA" w:rsidP="00BD0CAA">
      <w:pPr>
        <w:widowControl/>
        <w:shd w:val="clear" w:color="auto" w:fill="FFFFFF"/>
        <w:spacing w:after="200" w:line="330" w:lineRule="atLeast"/>
        <w:ind w:firstLine="440"/>
        <w:jc w:val="left"/>
        <w:rPr>
          <w:rFonts w:ascii="宋体" w:eastAsia="宋体" w:hAnsi="宋体" w:cs="Calibri"/>
          <w:bCs/>
          <w:color w:val="333333"/>
          <w:kern w:val="0"/>
          <w:sz w:val="22"/>
        </w:rPr>
      </w:pPr>
      <w:r w:rsidRPr="00BD0CAA">
        <w:rPr>
          <w:rFonts w:ascii="宋体" w:eastAsia="宋体" w:hAnsi="宋体" w:cs="Calibri" w:hint="eastAsia"/>
          <w:bCs/>
          <w:color w:val="333333"/>
          <w:kern w:val="0"/>
          <w:sz w:val="22"/>
        </w:rPr>
        <w:t>修改为：</w:t>
      </w:r>
    </w:p>
    <w:p w14:paraId="02D8BCE6" w14:textId="77777777" w:rsidR="005E1B04" w:rsidRPr="0039328F" w:rsidRDefault="00BD0CAA" w:rsidP="00BD0CAA">
      <w:pPr>
        <w:widowControl/>
        <w:shd w:val="clear" w:color="auto" w:fill="FFFFFF"/>
        <w:spacing w:after="200" w:line="330" w:lineRule="atLeast"/>
        <w:ind w:firstLine="440"/>
        <w:jc w:val="left"/>
        <w:rPr>
          <w:rFonts w:ascii="Calibri" w:eastAsia="宋体" w:hAnsi="Calibri" w:cs="Calibri"/>
          <w:color w:val="333333"/>
          <w:kern w:val="0"/>
          <w:sz w:val="22"/>
        </w:rPr>
      </w:pPr>
      <w:r w:rsidRPr="00BD0CAA">
        <w:rPr>
          <w:rFonts w:ascii="宋体" w:eastAsia="宋体" w:hAnsi="宋体" w:cs="Calibri" w:hint="eastAsia"/>
          <w:bCs/>
          <w:color w:val="333333"/>
          <w:kern w:val="0"/>
          <w:sz w:val="22"/>
        </w:rPr>
        <w:t>“本基金将基金份额净值为</w:t>
      </w:r>
      <w:r w:rsidRPr="00BD0CAA">
        <w:rPr>
          <w:rFonts w:ascii="宋体" w:eastAsia="宋体" w:hAnsi="宋体" w:cs="Calibri"/>
          <w:bCs/>
          <w:color w:val="333333"/>
          <w:kern w:val="0"/>
          <w:sz w:val="22"/>
        </w:rPr>
        <w:t>0.650元设置为止损线（止损线的计算以私募基金管理人与私募基金托管人核对一致的日终净值为准）。本基金如投向场外衍生品或资产管理产品，可能出现因所投产品净值提供频率与本私募基金估值频率不一致，从而导致本私募基金份额净值更新不及时，未及时发现触及止损线的情形；在本基金触及止损线时，可能存在场外衍生品合约无法及时了结、所投资产管理产品无法及时变现等原因，导致本基金最终完成变现后的份额净值低于本基金的止损线。”</w:t>
      </w:r>
    </w:p>
    <w:sectPr w:rsidR="005E1B04" w:rsidRPr="003932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ADFA" w14:textId="77777777" w:rsidR="007518CF" w:rsidRDefault="007518CF" w:rsidP="00A309FB">
      <w:r>
        <w:separator/>
      </w:r>
    </w:p>
  </w:endnote>
  <w:endnote w:type="continuationSeparator" w:id="0">
    <w:p w14:paraId="5788DC7C" w14:textId="77777777" w:rsidR="007518CF" w:rsidRDefault="007518CF" w:rsidP="00A3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9493" w14:textId="77777777" w:rsidR="007518CF" w:rsidRDefault="007518CF" w:rsidP="00A309FB">
      <w:r>
        <w:separator/>
      </w:r>
    </w:p>
  </w:footnote>
  <w:footnote w:type="continuationSeparator" w:id="0">
    <w:p w14:paraId="675C495F" w14:textId="77777777" w:rsidR="007518CF" w:rsidRDefault="007518CF" w:rsidP="00A30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E301"/>
    <w:multiLevelType w:val="hybridMultilevel"/>
    <w:tmpl w:val="5DFE2F02"/>
    <w:lvl w:ilvl="0" w:tplc="93709AE6">
      <w:start w:val="1"/>
      <w:numFmt w:val="chineseCountingThousand"/>
      <w:lvlText w:val="（%1）"/>
      <w:lvlJc w:val="right"/>
      <w:pPr>
        <w:ind w:left="420" w:hanging="420"/>
      </w:pPr>
      <w:rPr>
        <w:rFonts w:hint="eastAsia"/>
      </w:rPr>
    </w:lvl>
    <w:lvl w:ilvl="1" w:tplc="A880C3E0">
      <w:start w:val="1"/>
      <w:numFmt w:val="chineseCountingThousand"/>
      <w:suff w:val="space"/>
      <w:lvlText w:val="（%2）"/>
      <w:lvlJc w:val="left"/>
      <w:pPr>
        <w:ind w:left="840" w:hanging="420"/>
      </w:pPr>
      <w:rPr>
        <w:rFonts w:hint="eastAsia"/>
        <w:b w:val="0"/>
      </w:rPr>
    </w:lvl>
    <w:lvl w:ilvl="2" w:tplc="E4484E6A">
      <w:start w:val="1"/>
      <w:numFmt w:val="lowerRoman"/>
      <w:lvlText w:val="%3."/>
      <w:lvlJc w:val="right"/>
      <w:pPr>
        <w:ind w:left="1260" w:hanging="420"/>
      </w:pPr>
    </w:lvl>
    <w:lvl w:ilvl="3" w:tplc="98741DA6" w:tentative="1">
      <w:start w:val="1"/>
      <w:numFmt w:val="decimal"/>
      <w:lvlText w:val="%4."/>
      <w:lvlJc w:val="left"/>
      <w:pPr>
        <w:ind w:left="1680" w:hanging="420"/>
      </w:pPr>
    </w:lvl>
    <w:lvl w:ilvl="4" w:tplc="E790FE84" w:tentative="1">
      <w:start w:val="1"/>
      <w:numFmt w:val="lowerLetter"/>
      <w:lvlText w:val="%5)"/>
      <w:lvlJc w:val="left"/>
      <w:pPr>
        <w:ind w:left="2100" w:hanging="420"/>
      </w:pPr>
    </w:lvl>
    <w:lvl w:ilvl="5" w:tplc="D7C64BCA" w:tentative="1">
      <w:start w:val="1"/>
      <w:numFmt w:val="lowerRoman"/>
      <w:lvlText w:val="%6."/>
      <w:lvlJc w:val="right"/>
      <w:pPr>
        <w:ind w:left="2520" w:hanging="420"/>
      </w:pPr>
    </w:lvl>
    <w:lvl w:ilvl="6" w:tplc="F1DE5CC8" w:tentative="1">
      <w:start w:val="1"/>
      <w:numFmt w:val="decimal"/>
      <w:lvlText w:val="%7."/>
      <w:lvlJc w:val="left"/>
      <w:pPr>
        <w:ind w:left="2940" w:hanging="420"/>
      </w:pPr>
    </w:lvl>
    <w:lvl w:ilvl="7" w:tplc="F09C3F88" w:tentative="1">
      <w:start w:val="1"/>
      <w:numFmt w:val="lowerLetter"/>
      <w:lvlText w:val="%8)"/>
      <w:lvlJc w:val="left"/>
      <w:pPr>
        <w:ind w:left="3360" w:hanging="420"/>
      </w:pPr>
    </w:lvl>
    <w:lvl w:ilvl="8" w:tplc="9BC8DFF8" w:tentative="1">
      <w:start w:val="1"/>
      <w:numFmt w:val="lowerRoman"/>
      <w:lvlText w:val="%9."/>
      <w:lvlJc w:val="right"/>
      <w:pPr>
        <w:ind w:left="3780" w:hanging="420"/>
      </w:pPr>
    </w:lvl>
  </w:abstractNum>
  <w:abstractNum w:abstractNumId="1" w15:restartNumberingAfterBreak="0">
    <w:nsid w:val="007272F3"/>
    <w:multiLevelType w:val="hybridMultilevel"/>
    <w:tmpl w:val="A94C768A"/>
    <w:lvl w:ilvl="0" w:tplc="64B4AF2E">
      <w:start w:val="1"/>
      <w:numFmt w:val="chineseCountingThousand"/>
      <w:suff w:val="nothing"/>
      <w:lvlText w:val="（%1）"/>
      <w:lvlJc w:val="left"/>
      <w:pPr>
        <w:ind w:left="1140" w:hanging="720"/>
      </w:pPr>
      <w:rPr>
        <w:rFonts w:hint="eastAsia"/>
        <w:lang w:val="en-US"/>
      </w:rPr>
    </w:lvl>
    <w:lvl w:ilvl="1" w:tplc="F9724858" w:tentative="1">
      <w:start w:val="1"/>
      <w:numFmt w:val="lowerLetter"/>
      <w:lvlText w:val="%2)"/>
      <w:lvlJc w:val="left"/>
      <w:pPr>
        <w:ind w:left="1260" w:hanging="420"/>
      </w:pPr>
    </w:lvl>
    <w:lvl w:ilvl="2" w:tplc="D6B0B012" w:tentative="1">
      <w:start w:val="1"/>
      <w:numFmt w:val="lowerRoman"/>
      <w:lvlText w:val="%3."/>
      <w:lvlJc w:val="right"/>
      <w:pPr>
        <w:ind w:left="1680" w:hanging="420"/>
      </w:pPr>
    </w:lvl>
    <w:lvl w:ilvl="3" w:tplc="1EEA74AA" w:tentative="1">
      <w:start w:val="1"/>
      <w:numFmt w:val="decimal"/>
      <w:lvlText w:val="%4."/>
      <w:lvlJc w:val="left"/>
      <w:pPr>
        <w:ind w:left="2100" w:hanging="420"/>
      </w:pPr>
    </w:lvl>
    <w:lvl w:ilvl="4" w:tplc="07AA6F20" w:tentative="1">
      <w:start w:val="1"/>
      <w:numFmt w:val="lowerLetter"/>
      <w:lvlText w:val="%5)"/>
      <w:lvlJc w:val="left"/>
      <w:pPr>
        <w:ind w:left="2520" w:hanging="420"/>
      </w:pPr>
    </w:lvl>
    <w:lvl w:ilvl="5" w:tplc="AA0AD0B8" w:tentative="1">
      <w:start w:val="1"/>
      <w:numFmt w:val="lowerRoman"/>
      <w:lvlText w:val="%6."/>
      <w:lvlJc w:val="right"/>
      <w:pPr>
        <w:ind w:left="2940" w:hanging="420"/>
      </w:pPr>
    </w:lvl>
    <w:lvl w:ilvl="6" w:tplc="B83C7F8C" w:tentative="1">
      <w:start w:val="1"/>
      <w:numFmt w:val="decimal"/>
      <w:lvlText w:val="%7."/>
      <w:lvlJc w:val="left"/>
      <w:pPr>
        <w:ind w:left="3360" w:hanging="420"/>
      </w:pPr>
    </w:lvl>
    <w:lvl w:ilvl="7" w:tplc="B768ADD6" w:tentative="1">
      <w:start w:val="1"/>
      <w:numFmt w:val="lowerLetter"/>
      <w:lvlText w:val="%8)"/>
      <w:lvlJc w:val="left"/>
      <w:pPr>
        <w:ind w:left="3780" w:hanging="420"/>
      </w:pPr>
    </w:lvl>
    <w:lvl w:ilvl="8" w:tplc="756AF34A" w:tentative="1">
      <w:start w:val="1"/>
      <w:numFmt w:val="lowerRoman"/>
      <w:lvlText w:val="%9."/>
      <w:lvlJc w:val="right"/>
      <w:pPr>
        <w:ind w:left="4200" w:hanging="420"/>
      </w:pPr>
    </w:lvl>
  </w:abstractNum>
  <w:abstractNum w:abstractNumId="2" w15:restartNumberingAfterBreak="0">
    <w:nsid w:val="01FF4599"/>
    <w:multiLevelType w:val="hybridMultilevel"/>
    <w:tmpl w:val="FEF24AFC"/>
    <w:lvl w:ilvl="0" w:tplc="2500FA3A">
      <w:start w:val="1"/>
      <w:numFmt w:val="japaneseCounting"/>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80C4A8F"/>
    <w:multiLevelType w:val="hybridMultilevel"/>
    <w:tmpl w:val="63F658C8"/>
    <w:lvl w:ilvl="0" w:tplc="5684A0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48F663A"/>
    <w:multiLevelType w:val="hybridMultilevel"/>
    <w:tmpl w:val="FEF24AFC"/>
    <w:lvl w:ilvl="0" w:tplc="2500FA3A">
      <w:start w:val="1"/>
      <w:numFmt w:val="japaneseCounting"/>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20161836">
    <w:abstractNumId w:val="0"/>
  </w:num>
  <w:num w:numId="2" w16cid:durableId="13504499">
    <w:abstractNumId w:val="4"/>
  </w:num>
  <w:num w:numId="3" w16cid:durableId="746806227">
    <w:abstractNumId w:val="1"/>
  </w:num>
  <w:num w:numId="4" w16cid:durableId="864749197">
    <w:abstractNumId w:val="3"/>
  </w:num>
  <w:num w:numId="5" w16cid:durableId="154194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65"/>
    <w:rsid w:val="000C6335"/>
    <w:rsid w:val="00155539"/>
    <w:rsid w:val="001F272A"/>
    <w:rsid w:val="00266703"/>
    <w:rsid w:val="00283DEB"/>
    <w:rsid w:val="0039328F"/>
    <w:rsid w:val="003C4AFD"/>
    <w:rsid w:val="003C74B7"/>
    <w:rsid w:val="00464765"/>
    <w:rsid w:val="005B613C"/>
    <w:rsid w:val="005E1B04"/>
    <w:rsid w:val="007518CF"/>
    <w:rsid w:val="007553D2"/>
    <w:rsid w:val="007E0AC7"/>
    <w:rsid w:val="00874666"/>
    <w:rsid w:val="008A6435"/>
    <w:rsid w:val="00927DB2"/>
    <w:rsid w:val="009833A8"/>
    <w:rsid w:val="00A309FB"/>
    <w:rsid w:val="00B31D20"/>
    <w:rsid w:val="00BD0CAA"/>
    <w:rsid w:val="00C565D3"/>
    <w:rsid w:val="00D43C1D"/>
    <w:rsid w:val="00DE5B26"/>
    <w:rsid w:val="00E06EAC"/>
    <w:rsid w:val="00EF1929"/>
    <w:rsid w:val="00F13DEB"/>
    <w:rsid w:val="00FD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379B"/>
  <w15:chartTrackingRefBased/>
  <w15:docId w15:val="{4FD52AD5-AE23-4828-A426-1E04484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F13DEB"/>
    <w:pPr>
      <w:widowControl/>
      <w:adjustRightInd w:val="0"/>
      <w:snapToGrid w:val="0"/>
      <w:spacing w:after="200"/>
      <w:jc w:val="left"/>
    </w:pPr>
    <w:rPr>
      <w:rFonts w:ascii="Tahoma" w:eastAsia="微软雅黑" w:hAnsi="Tahoma"/>
      <w:kern w:val="0"/>
      <w:sz w:val="22"/>
    </w:rPr>
  </w:style>
  <w:style w:type="character" w:customStyle="1" w:styleId="a4">
    <w:name w:val="批注文字 字符"/>
    <w:basedOn w:val="a0"/>
    <w:link w:val="a3"/>
    <w:uiPriority w:val="99"/>
    <w:qFormat/>
    <w:rsid w:val="00F13DEB"/>
    <w:rPr>
      <w:rFonts w:ascii="Tahoma" w:eastAsia="微软雅黑" w:hAnsi="Tahoma"/>
      <w:kern w:val="0"/>
      <w:sz w:val="22"/>
    </w:rPr>
  </w:style>
  <w:style w:type="character" w:styleId="a5">
    <w:name w:val="annotation reference"/>
    <w:uiPriority w:val="99"/>
    <w:qFormat/>
    <w:rsid w:val="00F13DEB"/>
    <w:rPr>
      <w:rFonts w:cs="Times New Roman"/>
      <w:sz w:val="21"/>
      <w:szCs w:val="21"/>
    </w:rPr>
  </w:style>
  <w:style w:type="paragraph" w:customStyle="1" w:styleId="a3-BR232658">
    <w:name w:val="a3-BR232658"/>
    <w:basedOn w:val="a"/>
    <w:uiPriority w:val="99"/>
    <w:rsid w:val="00F13DEB"/>
    <w:pPr>
      <w:ind w:firstLineChars="200" w:firstLine="420"/>
    </w:pPr>
    <w:rPr>
      <w:rFonts w:ascii="Times New Roman" w:eastAsia="宋体" w:hAnsi="Times New Roman" w:cs="Times New Roman"/>
      <w:szCs w:val="24"/>
    </w:rPr>
  </w:style>
  <w:style w:type="paragraph" w:styleId="a6">
    <w:name w:val="Balloon Text"/>
    <w:basedOn w:val="a"/>
    <w:link w:val="a7"/>
    <w:uiPriority w:val="99"/>
    <w:semiHidden/>
    <w:unhideWhenUsed/>
    <w:rsid w:val="00F13DEB"/>
    <w:rPr>
      <w:sz w:val="18"/>
      <w:szCs w:val="18"/>
    </w:rPr>
  </w:style>
  <w:style w:type="character" w:customStyle="1" w:styleId="a7">
    <w:name w:val="批注框文本 字符"/>
    <w:basedOn w:val="a0"/>
    <w:link w:val="a6"/>
    <w:uiPriority w:val="99"/>
    <w:semiHidden/>
    <w:rsid w:val="00F13DEB"/>
    <w:rPr>
      <w:sz w:val="18"/>
      <w:szCs w:val="18"/>
    </w:rPr>
  </w:style>
  <w:style w:type="paragraph" w:styleId="a8">
    <w:name w:val="List Paragraph"/>
    <w:basedOn w:val="a"/>
    <w:uiPriority w:val="34"/>
    <w:qFormat/>
    <w:rsid w:val="00927DB2"/>
    <w:pPr>
      <w:ind w:firstLineChars="200" w:firstLine="420"/>
    </w:pPr>
  </w:style>
  <w:style w:type="paragraph" w:styleId="a9">
    <w:name w:val="No Spacing"/>
    <w:uiPriority w:val="1"/>
    <w:qFormat/>
    <w:rsid w:val="00927DB2"/>
    <w:pPr>
      <w:widowControl w:val="0"/>
      <w:jc w:val="both"/>
    </w:pPr>
  </w:style>
  <w:style w:type="paragraph" w:customStyle="1" w:styleId="ae-BR677572">
    <w:name w:val="ae-BR677572"/>
    <w:basedOn w:val="a"/>
    <w:uiPriority w:val="34"/>
    <w:qFormat/>
    <w:rsid w:val="00283DEB"/>
    <w:pPr>
      <w:ind w:firstLineChars="200" w:firstLine="420"/>
    </w:pPr>
    <w:rPr>
      <w:rFonts w:ascii="Times New Roman" w:eastAsia="宋体" w:hAnsi="Times New Roman" w:cs="Times New Roman"/>
      <w:szCs w:val="24"/>
    </w:rPr>
  </w:style>
  <w:style w:type="paragraph" w:customStyle="1" w:styleId="a-BR677572">
    <w:name w:val="a-BR677572"/>
    <w:qFormat/>
    <w:rsid w:val="00283DEB"/>
    <w:pPr>
      <w:widowControl w:val="0"/>
      <w:jc w:val="both"/>
    </w:pPr>
    <w:rPr>
      <w:rFonts w:ascii="Times New Roman" w:eastAsia="宋体" w:hAnsi="Times New Roman" w:cs="Times New Roman"/>
      <w:szCs w:val="24"/>
    </w:rPr>
  </w:style>
  <w:style w:type="table" w:customStyle="1" w:styleId="a6-BR677572">
    <w:name w:val="a6-BR677572"/>
    <w:basedOn w:val="a1"/>
    <w:uiPriority w:val="39"/>
    <w:qFormat/>
    <w:rsid w:val="00283DE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R836162">
    <w:name w:val="a-BR836162"/>
    <w:qFormat/>
    <w:rsid w:val="003C4AFD"/>
    <w:pPr>
      <w:widowControl w:val="0"/>
      <w:jc w:val="both"/>
    </w:pPr>
    <w:rPr>
      <w:rFonts w:ascii="Times New Roman" w:eastAsia="宋体" w:hAnsi="Times New Roman" w:cs="Times New Roman"/>
      <w:szCs w:val="24"/>
    </w:rPr>
  </w:style>
  <w:style w:type="paragraph" w:styleId="aa">
    <w:name w:val="header"/>
    <w:basedOn w:val="a"/>
    <w:link w:val="ab"/>
    <w:uiPriority w:val="99"/>
    <w:unhideWhenUsed/>
    <w:rsid w:val="00A309F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309FB"/>
    <w:rPr>
      <w:sz w:val="18"/>
      <w:szCs w:val="18"/>
    </w:rPr>
  </w:style>
  <w:style w:type="paragraph" w:styleId="ac">
    <w:name w:val="footer"/>
    <w:basedOn w:val="a"/>
    <w:link w:val="ad"/>
    <w:uiPriority w:val="99"/>
    <w:unhideWhenUsed/>
    <w:rsid w:val="00A309FB"/>
    <w:pPr>
      <w:tabs>
        <w:tab w:val="center" w:pos="4153"/>
        <w:tab w:val="right" w:pos="8306"/>
      </w:tabs>
      <w:snapToGrid w:val="0"/>
      <w:jc w:val="left"/>
    </w:pPr>
    <w:rPr>
      <w:sz w:val="18"/>
      <w:szCs w:val="18"/>
    </w:rPr>
  </w:style>
  <w:style w:type="character" w:customStyle="1" w:styleId="ad">
    <w:name w:val="页脚 字符"/>
    <w:basedOn w:val="a0"/>
    <w:link w:val="ac"/>
    <w:uiPriority w:val="99"/>
    <w:rsid w:val="00A309FB"/>
    <w:rPr>
      <w:sz w:val="18"/>
      <w:szCs w:val="18"/>
    </w:rPr>
  </w:style>
  <w:style w:type="paragraph" w:styleId="ae">
    <w:name w:val="Date"/>
    <w:basedOn w:val="a"/>
    <w:next w:val="a"/>
    <w:link w:val="af"/>
    <w:uiPriority w:val="99"/>
    <w:semiHidden/>
    <w:unhideWhenUsed/>
    <w:rsid w:val="005E1B04"/>
    <w:pPr>
      <w:ind w:leftChars="2500" w:left="100"/>
    </w:pPr>
  </w:style>
  <w:style w:type="character" w:customStyle="1" w:styleId="af">
    <w:name w:val="日期 字符"/>
    <w:basedOn w:val="a0"/>
    <w:link w:val="ae"/>
    <w:uiPriority w:val="99"/>
    <w:semiHidden/>
    <w:rsid w:val="005E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0334">
      <w:bodyDiv w:val="1"/>
      <w:marLeft w:val="0"/>
      <w:marRight w:val="0"/>
      <w:marTop w:val="0"/>
      <w:marBottom w:val="0"/>
      <w:divBdr>
        <w:top w:val="none" w:sz="0" w:space="0" w:color="auto"/>
        <w:left w:val="none" w:sz="0" w:space="0" w:color="auto"/>
        <w:bottom w:val="none" w:sz="0" w:space="0" w:color="auto"/>
        <w:right w:val="none" w:sz="0" w:space="0" w:color="auto"/>
      </w:divBdr>
    </w:div>
    <w:div w:id="12739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dc:creator>
  <cp:keywords/>
  <dc:description/>
  <cp:lastModifiedBy>1 admin</cp:lastModifiedBy>
  <cp:revision>2</cp:revision>
  <dcterms:created xsi:type="dcterms:W3CDTF">2024-01-08T02:45:00Z</dcterms:created>
  <dcterms:modified xsi:type="dcterms:W3CDTF">2024-01-08T02:45:00Z</dcterms:modified>
</cp:coreProperties>
</file>