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07DF" w14:textId="77777777" w:rsidR="00000000" w:rsidRDefault="005E1B04" w:rsidP="00464765">
      <w:r>
        <w:rPr>
          <w:rFonts w:hint="eastAsia"/>
        </w:rPr>
        <w:t>附件：</w:t>
      </w:r>
    </w:p>
    <w:p w14:paraId="23FFB4E1" w14:textId="77777777" w:rsidR="005E1B04" w:rsidRPr="0039328F" w:rsidRDefault="005E1B04" w:rsidP="005E1B04">
      <w:pPr>
        <w:jc w:val="center"/>
        <w:rPr>
          <w:rFonts w:ascii="宋体" w:eastAsia="宋体" w:hAnsi="宋体"/>
          <w:sz w:val="28"/>
        </w:rPr>
      </w:pPr>
      <w:r w:rsidRPr="0039328F">
        <w:rPr>
          <w:rFonts w:ascii="宋体" w:eastAsia="宋体" w:hAnsi="宋体"/>
          <w:sz w:val="28"/>
        </w:rPr>
        <w:t>锦</w:t>
      </w:r>
      <w:proofErr w:type="gramStart"/>
      <w:r w:rsidRPr="0039328F">
        <w:rPr>
          <w:rFonts w:ascii="宋体" w:eastAsia="宋体" w:hAnsi="宋体"/>
          <w:sz w:val="28"/>
        </w:rPr>
        <w:t>悦</w:t>
      </w:r>
      <w:r w:rsidR="0039328F" w:rsidRPr="0039328F">
        <w:rPr>
          <w:rFonts w:ascii="宋体" w:eastAsia="宋体" w:hAnsi="宋体" w:hint="eastAsia"/>
          <w:sz w:val="28"/>
        </w:rPr>
        <w:t>瑞享</w:t>
      </w:r>
      <w:proofErr w:type="gramEnd"/>
      <w:r w:rsidR="0039328F" w:rsidRPr="0039328F">
        <w:rPr>
          <w:rFonts w:ascii="宋体" w:eastAsia="宋体" w:hAnsi="宋体" w:hint="eastAsia"/>
          <w:sz w:val="28"/>
        </w:rPr>
        <w:t>7</w:t>
      </w:r>
      <w:r w:rsidR="0039328F" w:rsidRPr="0039328F">
        <w:rPr>
          <w:rFonts w:ascii="宋体" w:eastAsia="宋体" w:hAnsi="宋体"/>
          <w:sz w:val="28"/>
        </w:rPr>
        <w:t>号私募证券投资基金</w:t>
      </w:r>
      <w:r w:rsidRPr="0039328F">
        <w:rPr>
          <w:rFonts w:ascii="宋体" w:eastAsia="宋体" w:hAnsi="宋体"/>
          <w:sz w:val="28"/>
        </w:rPr>
        <w:t>合同修改内容</w:t>
      </w:r>
    </w:p>
    <w:p w14:paraId="23CADE6D" w14:textId="77777777" w:rsidR="005E1B04" w:rsidRPr="005E1B04" w:rsidRDefault="005E1B04" w:rsidP="005E1B04">
      <w:pPr>
        <w:jc w:val="center"/>
        <w:rPr>
          <w:rFonts w:ascii="宋体" w:eastAsia="宋体" w:hAnsi="宋体"/>
          <w:sz w:val="24"/>
        </w:rPr>
      </w:pPr>
    </w:p>
    <w:p w14:paraId="38C3D3E7" w14:textId="77777777" w:rsidR="0039328F" w:rsidRPr="0039328F" w:rsidRDefault="0039328F" w:rsidP="0039328F">
      <w:pPr>
        <w:widowControl/>
        <w:shd w:val="clear" w:color="auto" w:fill="FFFFFF"/>
        <w:spacing w:after="200" w:line="330" w:lineRule="atLeast"/>
        <w:ind w:firstLine="440"/>
        <w:jc w:val="left"/>
        <w:rPr>
          <w:rFonts w:ascii="Calibri" w:eastAsia="宋体" w:hAnsi="Calibri" w:cs="Calibri"/>
          <w:color w:val="333333"/>
          <w:kern w:val="0"/>
          <w:sz w:val="22"/>
        </w:rPr>
      </w:pPr>
      <w:r w:rsidRPr="0039328F">
        <w:rPr>
          <w:rFonts w:ascii="宋体" w:eastAsia="宋体" w:hAnsi="宋体" w:cs="Calibri" w:hint="eastAsia"/>
          <w:bCs/>
          <w:color w:val="333333"/>
          <w:kern w:val="0"/>
          <w:sz w:val="22"/>
        </w:rPr>
        <w:t>（一）修订第十一章“私募基金的投资”第（七）条“预警止损机制”第（3）款</w:t>
      </w:r>
    </w:p>
    <w:p w14:paraId="4BA50E03" w14:textId="77777777" w:rsidR="0039328F" w:rsidRPr="0039328F" w:rsidRDefault="0039328F" w:rsidP="0039328F">
      <w:pPr>
        <w:widowControl/>
        <w:shd w:val="clear" w:color="auto" w:fill="FFFFFF"/>
        <w:spacing w:after="200" w:line="330" w:lineRule="atLeast"/>
        <w:ind w:firstLine="440"/>
        <w:jc w:val="left"/>
        <w:rPr>
          <w:rFonts w:ascii="Calibri" w:eastAsia="宋体" w:hAnsi="Calibri" w:cs="Calibri"/>
          <w:color w:val="333333"/>
          <w:kern w:val="0"/>
          <w:sz w:val="22"/>
        </w:rPr>
      </w:pPr>
      <w:r w:rsidRPr="0039328F">
        <w:rPr>
          <w:rFonts w:ascii="宋体" w:eastAsia="宋体" w:hAnsi="宋体" w:cs="Calibri" w:hint="eastAsia"/>
          <w:bCs/>
          <w:color w:val="333333"/>
          <w:kern w:val="0"/>
          <w:sz w:val="22"/>
        </w:rPr>
        <w:t>原表述：</w:t>
      </w:r>
    </w:p>
    <w:p w14:paraId="16175705" w14:textId="77777777" w:rsidR="0039328F" w:rsidRPr="0039328F" w:rsidRDefault="0039328F" w:rsidP="0039328F">
      <w:pPr>
        <w:widowControl/>
        <w:shd w:val="clear" w:color="auto" w:fill="FFFFFF"/>
        <w:spacing w:after="200" w:line="330" w:lineRule="atLeast"/>
        <w:ind w:firstLine="440"/>
        <w:jc w:val="left"/>
        <w:rPr>
          <w:rFonts w:ascii="Calibri" w:eastAsia="宋体" w:hAnsi="Calibri" w:cs="Calibri"/>
          <w:color w:val="333333"/>
          <w:kern w:val="0"/>
          <w:sz w:val="22"/>
        </w:rPr>
      </w:pPr>
      <w:r w:rsidRPr="0039328F">
        <w:rPr>
          <w:rFonts w:ascii="宋体" w:eastAsia="宋体" w:hAnsi="宋体" w:cs="Calibri" w:hint="eastAsia"/>
          <w:bCs/>
          <w:color w:val="333333"/>
          <w:kern w:val="0"/>
          <w:sz w:val="22"/>
        </w:rPr>
        <w:t>“</w:t>
      </w:r>
      <w:r w:rsidRPr="0039328F">
        <w:rPr>
          <w:rFonts w:ascii="宋体" w:eastAsia="宋体" w:hAnsi="宋体" w:cs="Calibri" w:hint="eastAsia"/>
          <w:color w:val="333333"/>
          <w:kern w:val="0"/>
          <w:sz w:val="22"/>
        </w:rPr>
        <w:t>（3）本基金的止损线为A类基金份额净值0.700元，若T日A类基金份额净值低于或等于止损线，无论T+1日及之后的A类基金份额净值是否高于止损线，自私</w:t>
      </w:r>
      <w:proofErr w:type="gramStart"/>
      <w:r w:rsidRPr="0039328F">
        <w:rPr>
          <w:rFonts w:ascii="宋体" w:eastAsia="宋体" w:hAnsi="宋体" w:cs="Calibri" w:hint="eastAsia"/>
          <w:color w:val="333333"/>
          <w:kern w:val="0"/>
          <w:sz w:val="22"/>
        </w:rPr>
        <w:t>募</w:t>
      </w:r>
      <w:proofErr w:type="gramEnd"/>
      <w:r w:rsidRPr="0039328F">
        <w:rPr>
          <w:rFonts w:ascii="宋体" w:eastAsia="宋体" w:hAnsi="宋体" w:cs="Calibri" w:hint="eastAsia"/>
          <w:color w:val="333333"/>
          <w:kern w:val="0"/>
          <w:sz w:val="22"/>
        </w:rPr>
        <w:t>基金管理人与私募基金托管人核对T日净值一致的时刻、自私</w:t>
      </w:r>
      <w:proofErr w:type="gramStart"/>
      <w:r w:rsidRPr="0039328F">
        <w:rPr>
          <w:rFonts w:ascii="宋体" w:eastAsia="宋体" w:hAnsi="宋体" w:cs="Calibri" w:hint="eastAsia"/>
          <w:color w:val="333333"/>
          <w:kern w:val="0"/>
          <w:sz w:val="22"/>
        </w:rPr>
        <w:t>募</w:t>
      </w:r>
      <w:proofErr w:type="gramEnd"/>
      <w:r w:rsidRPr="0039328F">
        <w:rPr>
          <w:rFonts w:ascii="宋体" w:eastAsia="宋体" w:hAnsi="宋体" w:cs="Calibri" w:hint="eastAsia"/>
          <w:color w:val="333333"/>
          <w:kern w:val="0"/>
          <w:sz w:val="22"/>
        </w:rPr>
        <w:t>基金管理人收到运营服务机构与私募基金托管人核对一致的T日净值的时刻或者私募基金托管人通知私募基金管理人T日净值小于或等于止损线的时刻较早者开始，本基金不得进行任何开仓行为，私募基金管理人应立即将本基金进行不可逆的变现操作：在5个交易日内（本基金剩余期限大于或等于5个交易日的情形）或在本基金终止日前（本基金剩余期限小于5个交易日的情形）完成变现操作，将可变现的非现金资产全部变现，本基金终止并根据基金合同的约定进入清算流程。</w:t>
      </w:r>
      <w:r w:rsidRPr="0039328F">
        <w:rPr>
          <w:rFonts w:ascii="宋体" w:eastAsia="宋体" w:hAnsi="宋体" w:cs="Calibri" w:hint="eastAsia"/>
          <w:bCs/>
          <w:color w:val="333333"/>
          <w:kern w:val="0"/>
          <w:sz w:val="22"/>
        </w:rPr>
        <w:t>”</w:t>
      </w:r>
    </w:p>
    <w:p w14:paraId="18720AB3" w14:textId="77777777" w:rsidR="0039328F" w:rsidRPr="0039328F" w:rsidRDefault="0039328F" w:rsidP="0039328F">
      <w:pPr>
        <w:widowControl/>
        <w:shd w:val="clear" w:color="auto" w:fill="FFFFFF"/>
        <w:spacing w:after="200" w:line="330" w:lineRule="atLeast"/>
        <w:ind w:firstLine="440"/>
        <w:jc w:val="left"/>
        <w:rPr>
          <w:rFonts w:ascii="Calibri" w:eastAsia="宋体" w:hAnsi="Calibri" w:cs="Calibri"/>
          <w:color w:val="333333"/>
          <w:kern w:val="0"/>
          <w:sz w:val="22"/>
        </w:rPr>
      </w:pPr>
      <w:r w:rsidRPr="0039328F">
        <w:rPr>
          <w:rFonts w:ascii="宋体" w:eastAsia="宋体" w:hAnsi="宋体" w:cs="Calibri" w:hint="eastAsia"/>
          <w:bCs/>
          <w:color w:val="333333"/>
          <w:kern w:val="0"/>
          <w:sz w:val="22"/>
        </w:rPr>
        <w:t>修改为：</w:t>
      </w:r>
    </w:p>
    <w:p w14:paraId="6A112B20" w14:textId="77777777" w:rsidR="0039328F" w:rsidRPr="0039328F" w:rsidRDefault="0039328F" w:rsidP="0039328F">
      <w:pPr>
        <w:widowControl/>
        <w:shd w:val="clear" w:color="auto" w:fill="FFFFFF"/>
        <w:spacing w:after="200" w:line="330" w:lineRule="atLeast"/>
        <w:ind w:firstLine="440"/>
        <w:jc w:val="left"/>
        <w:rPr>
          <w:rFonts w:ascii="Calibri" w:eastAsia="宋体" w:hAnsi="Calibri" w:cs="Calibri"/>
          <w:color w:val="333333"/>
          <w:kern w:val="0"/>
          <w:sz w:val="22"/>
        </w:rPr>
      </w:pPr>
      <w:r w:rsidRPr="0039328F">
        <w:rPr>
          <w:rFonts w:ascii="宋体" w:eastAsia="宋体" w:hAnsi="宋体" w:cs="Calibri" w:hint="eastAsia"/>
          <w:bCs/>
          <w:color w:val="333333"/>
          <w:kern w:val="0"/>
          <w:sz w:val="22"/>
        </w:rPr>
        <w:t>“</w:t>
      </w:r>
      <w:r w:rsidRPr="0039328F">
        <w:rPr>
          <w:rFonts w:ascii="宋体" w:eastAsia="宋体" w:hAnsi="宋体" w:cs="Calibri" w:hint="eastAsia"/>
          <w:color w:val="333333"/>
          <w:kern w:val="0"/>
          <w:sz w:val="22"/>
        </w:rPr>
        <w:t>（3）本基金的止损线为A类基金份额净值0.650元，若T日A类基金份额净值低于或等于止损线，无论T+1日及之后的A类基金份额净值是否高于止损线，自私</w:t>
      </w:r>
      <w:proofErr w:type="gramStart"/>
      <w:r w:rsidRPr="0039328F">
        <w:rPr>
          <w:rFonts w:ascii="宋体" w:eastAsia="宋体" w:hAnsi="宋体" w:cs="Calibri" w:hint="eastAsia"/>
          <w:color w:val="333333"/>
          <w:kern w:val="0"/>
          <w:sz w:val="22"/>
        </w:rPr>
        <w:t>募</w:t>
      </w:r>
      <w:proofErr w:type="gramEnd"/>
      <w:r w:rsidRPr="0039328F">
        <w:rPr>
          <w:rFonts w:ascii="宋体" w:eastAsia="宋体" w:hAnsi="宋体" w:cs="Calibri" w:hint="eastAsia"/>
          <w:color w:val="333333"/>
          <w:kern w:val="0"/>
          <w:sz w:val="22"/>
        </w:rPr>
        <w:t>基金管理人与私募基金托管人核对T日净值一致的时刻、自私</w:t>
      </w:r>
      <w:proofErr w:type="gramStart"/>
      <w:r w:rsidRPr="0039328F">
        <w:rPr>
          <w:rFonts w:ascii="宋体" w:eastAsia="宋体" w:hAnsi="宋体" w:cs="Calibri" w:hint="eastAsia"/>
          <w:color w:val="333333"/>
          <w:kern w:val="0"/>
          <w:sz w:val="22"/>
        </w:rPr>
        <w:t>募</w:t>
      </w:r>
      <w:proofErr w:type="gramEnd"/>
      <w:r w:rsidRPr="0039328F">
        <w:rPr>
          <w:rFonts w:ascii="宋体" w:eastAsia="宋体" w:hAnsi="宋体" w:cs="Calibri" w:hint="eastAsia"/>
          <w:color w:val="333333"/>
          <w:kern w:val="0"/>
          <w:sz w:val="22"/>
        </w:rPr>
        <w:t>基金管理人收到运营服务机构与私募基金托管人核对一致的T日净值的时刻或者私募基金托管人通知私募基金管理人T日净值小于或等于止损线的时刻较早者开始，本基金不得进行任何开仓行为，私募基金管理人应立即将本基金进行不可逆的变现操作：在5个交易日内（本基金剩余期限大于或等于5个交易日的情形）或在本基金终止日前（本基金剩余期限小于5个交易日的情形）完成变现操作，将可变现的非现金资产全部变现，本基金终止并根据基金合同的约定进入清算流程。</w:t>
      </w:r>
      <w:r w:rsidRPr="0039328F">
        <w:rPr>
          <w:rFonts w:ascii="宋体" w:eastAsia="宋体" w:hAnsi="宋体" w:cs="Calibri" w:hint="eastAsia"/>
          <w:bCs/>
          <w:color w:val="333333"/>
          <w:kern w:val="0"/>
          <w:sz w:val="22"/>
        </w:rPr>
        <w:t>”</w:t>
      </w:r>
    </w:p>
    <w:p w14:paraId="2FB04A03" w14:textId="77777777" w:rsidR="0039328F" w:rsidRPr="0039328F" w:rsidRDefault="0039328F" w:rsidP="0039328F">
      <w:pPr>
        <w:widowControl/>
        <w:shd w:val="clear" w:color="auto" w:fill="FFFFFF"/>
        <w:spacing w:after="200" w:line="330" w:lineRule="atLeast"/>
        <w:ind w:firstLine="440"/>
        <w:jc w:val="left"/>
        <w:rPr>
          <w:rFonts w:ascii="Calibri" w:eastAsia="宋体" w:hAnsi="Calibri" w:cs="Calibri"/>
          <w:color w:val="333333"/>
          <w:kern w:val="0"/>
          <w:sz w:val="22"/>
        </w:rPr>
      </w:pPr>
      <w:r w:rsidRPr="0039328F">
        <w:rPr>
          <w:rFonts w:ascii="宋体" w:eastAsia="宋体" w:hAnsi="宋体" w:cs="Calibri" w:hint="eastAsia"/>
          <w:bCs/>
          <w:color w:val="333333"/>
          <w:kern w:val="0"/>
          <w:sz w:val="22"/>
        </w:rPr>
        <w:t>（二）修订第十九章“风险揭示”第（二）条“私募基金的一般风险”第10款“基金产品的特定设计可能引起的特定风险”第10.2项“止损风险”</w:t>
      </w:r>
    </w:p>
    <w:p w14:paraId="19141156" w14:textId="77777777" w:rsidR="0039328F" w:rsidRPr="0039328F" w:rsidRDefault="0039328F" w:rsidP="0039328F">
      <w:pPr>
        <w:widowControl/>
        <w:shd w:val="clear" w:color="auto" w:fill="FFFFFF"/>
        <w:spacing w:after="200" w:line="330" w:lineRule="atLeast"/>
        <w:ind w:firstLine="440"/>
        <w:jc w:val="left"/>
        <w:rPr>
          <w:rFonts w:ascii="Calibri" w:eastAsia="宋体" w:hAnsi="Calibri" w:cs="Calibri"/>
          <w:color w:val="333333"/>
          <w:kern w:val="0"/>
          <w:sz w:val="22"/>
        </w:rPr>
      </w:pPr>
      <w:r w:rsidRPr="0039328F">
        <w:rPr>
          <w:rFonts w:ascii="宋体" w:eastAsia="宋体" w:hAnsi="宋体" w:cs="Calibri" w:hint="eastAsia"/>
          <w:bCs/>
          <w:color w:val="333333"/>
          <w:kern w:val="0"/>
          <w:sz w:val="22"/>
        </w:rPr>
        <w:t>原表述：</w:t>
      </w:r>
    </w:p>
    <w:p w14:paraId="31E9C538" w14:textId="77777777" w:rsidR="0039328F" w:rsidRPr="0039328F" w:rsidRDefault="0039328F" w:rsidP="0039328F">
      <w:pPr>
        <w:widowControl/>
        <w:shd w:val="clear" w:color="auto" w:fill="FFFFFF"/>
        <w:spacing w:after="200" w:line="330" w:lineRule="atLeast"/>
        <w:ind w:firstLine="440"/>
        <w:jc w:val="left"/>
        <w:rPr>
          <w:rFonts w:ascii="Calibri" w:eastAsia="宋体" w:hAnsi="Calibri" w:cs="Calibri"/>
          <w:color w:val="333333"/>
          <w:kern w:val="0"/>
          <w:sz w:val="22"/>
        </w:rPr>
      </w:pPr>
      <w:r w:rsidRPr="0039328F">
        <w:rPr>
          <w:rFonts w:ascii="宋体" w:eastAsia="宋体" w:hAnsi="宋体" w:cs="Calibri" w:hint="eastAsia"/>
          <w:bCs/>
          <w:color w:val="333333"/>
          <w:kern w:val="0"/>
          <w:sz w:val="22"/>
        </w:rPr>
        <w:t>“本基金将A类基金份额净值为0.700元设置为止损线（止损线的计算以私募基金管理人与私募基金托管人核对一致的日终净值为准）。在止损卖出过程中，由于大量卖出导致市场价格大幅下跌或因证券跌停、停牌等事件导致证券不能及时卖出等因素，可能给本基金带来损失，导致止损后基金资产净值低于止损前基金资产净值。”</w:t>
      </w:r>
    </w:p>
    <w:p w14:paraId="703FB8ED" w14:textId="77777777" w:rsidR="0039328F" w:rsidRPr="0039328F" w:rsidRDefault="0039328F" w:rsidP="0039328F">
      <w:pPr>
        <w:widowControl/>
        <w:shd w:val="clear" w:color="auto" w:fill="FFFFFF"/>
        <w:spacing w:after="200" w:line="330" w:lineRule="atLeast"/>
        <w:ind w:firstLine="440"/>
        <w:jc w:val="left"/>
        <w:rPr>
          <w:rFonts w:ascii="Calibri" w:eastAsia="宋体" w:hAnsi="Calibri" w:cs="Calibri"/>
          <w:color w:val="333333"/>
          <w:kern w:val="0"/>
          <w:sz w:val="22"/>
        </w:rPr>
      </w:pPr>
      <w:r w:rsidRPr="0039328F">
        <w:rPr>
          <w:rFonts w:ascii="宋体" w:eastAsia="宋体" w:hAnsi="宋体" w:cs="Calibri" w:hint="eastAsia"/>
          <w:bCs/>
          <w:color w:val="333333"/>
          <w:kern w:val="0"/>
          <w:sz w:val="22"/>
        </w:rPr>
        <w:t>修改为：</w:t>
      </w:r>
    </w:p>
    <w:p w14:paraId="57A65628" w14:textId="77777777" w:rsidR="005E1B04" w:rsidRPr="0039328F" w:rsidRDefault="0039328F" w:rsidP="0039328F">
      <w:pPr>
        <w:widowControl/>
        <w:shd w:val="clear" w:color="auto" w:fill="FFFFFF"/>
        <w:spacing w:after="200" w:line="330" w:lineRule="atLeast"/>
        <w:ind w:firstLine="440"/>
        <w:jc w:val="left"/>
        <w:rPr>
          <w:rFonts w:ascii="Calibri" w:eastAsia="宋体" w:hAnsi="Calibri" w:cs="Calibri"/>
          <w:color w:val="333333"/>
          <w:kern w:val="0"/>
          <w:sz w:val="22"/>
        </w:rPr>
      </w:pPr>
      <w:r w:rsidRPr="0039328F">
        <w:rPr>
          <w:rFonts w:ascii="宋体" w:eastAsia="宋体" w:hAnsi="宋体" w:cs="Calibri" w:hint="eastAsia"/>
          <w:bCs/>
          <w:color w:val="333333"/>
          <w:kern w:val="0"/>
          <w:sz w:val="22"/>
        </w:rPr>
        <w:t>“本基金将A类基金份额净值为0.650元设置为止损线（止损线的计算以私募基金管理人与私募基金托管人核对一致的日终净值为准）。在止损卖出过程中，由于大量卖出导致市场价格大幅下跌或因证券跌停、停牌等事件导致证券不能及时卖出等因素，可能给本基金带来损失，导致止损后基金资产净值低于止损前基金资产净值。”</w:t>
      </w:r>
    </w:p>
    <w:sectPr w:rsidR="005E1B04" w:rsidRPr="003932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680E" w14:textId="77777777" w:rsidR="00445428" w:rsidRDefault="00445428" w:rsidP="00A309FB">
      <w:r>
        <w:separator/>
      </w:r>
    </w:p>
  </w:endnote>
  <w:endnote w:type="continuationSeparator" w:id="0">
    <w:p w14:paraId="7F6FDEA4" w14:textId="77777777" w:rsidR="00445428" w:rsidRDefault="00445428" w:rsidP="00A3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758C" w14:textId="77777777" w:rsidR="00445428" w:rsidRDefault="00445428" w:rsidP="00A309FB">
      <w:r>
        <w:separator/>
      </w:r>
    </w:p>
  </w:footnote>
  <w:footnote w:type="continuationSeparator" w:id="0">
    <w:p w14:paraId="14776ABF" w14:textId="77777777" w:rsidR="00445428" w:rsidRDefault="00445428" w:rsidP="00A30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E301"/>
    <w:multiLevelType w:val="hybridMultilevel"/>
    <w:tmpl w:val="5DFE2F02"/>
    <w:lvl w:ilvl="0" w:tplc="93709AE6">
      <w:start w:val="1"/>
      <w:numFmt w:val="chineseCountingThousand"/>
      <w:lvlText w:val="（%1）"/>
      <w:lvlJc w:val="right"/>
      <w:pPr>
        <w:ind w:left="420" w:hanging="420"/>
      </w:pPr>
      <w:rPr>
        <w:rFonts w:hint="eastAsia"/>
      </w:rPr>
    </w:lvl>
    <w:lvl w:ilvl="1" w:tplc="A880C3E0">
      <w:start w:val="1"/>
      <w:numFmt w:val="chineseCountingThousand"/>
      <w:suff w:val="space"/>
      <w:lvlText w:val="（%2）"/>
      <w:lvlJc w:val="left"/>
      <w:pPr>
        <w:ind w:left="840" w:hanging="420"/>
      </w:pPr>
      <w:rPr>
        <w:rFonts w:hint="eastAsia"/>
        <w:b w:val="0"/>
      </w:rPr>
    </w:lvl>
    <w:lvl w:ilvl="2" w:tplc="E4484E6A">
      <w:start w:val="1"/>
      <w:numFmt w:val="lowerRoman"/>
      <w:lvlText w:val="%3."/>
      <w:lvlJc w:val="right"/>
      <w:pPr>
        <w:ind w:left="1260" w:hanging="420"/>
      </w:pPr>
    </w:lvl>
    <w:lvl w:ilvl="3" w:tplc="98741DA6" w:tentative="1">
      <w:start w:val="1"/>
      <w:numFmt w:val="decimal"/>
      <w:lvlText w:val="%4."/>
      <w:lvlJc w:val="left"/>
      <w:pPr>
        <w:ind w:left="1680" w:hanging="420"/>
      </w:pPr>
    </w:lvl>
    <w:lvl w:ilvl="4" w:tplc="E790FE84" w:tentative="1">
      <w:start w:val="1"/>
      <w:numFmt w:val="lowerLetter"/>
      <w:lvlText w:val="%5)"/>
      <w:lvlJc w:val="left"/>
      <w:pPr>
        <w:ind w:left="2100" w:hanging="420"/>
      </w:pPr>
    </w:lvl>
    <w:lvl w:ilvl="5" w:tplc="D7C64BCA" w:tentative="1">
      <w:start w:val="1"/>
      <w:numFmt w:val="lowerRoman"/>
      <w:lvlText w:val="%6."/>
      <w:lvlJc w:val="right"/>
      <w:pPr>
        <w:ind w:left="2520" w:hanging="420"/>
      </w:pPr>
    </w:lvl>
    <w:lvl w:ilvl="6" w:tplc="F1DE5CC8" w:tentative="1">
      <w:start w:val="1"/>
      <w:numFmt w:val="decimal"/>
      <w:lvlText w:val="%7."/>
      <w:lvlJc w:val="left"/>
      <w:pPr>
        <w:ind w:left="2940" w:hanging="420"/>
      </w:pPr>
    </w:lvl>
    <w:lvl w:ilvl="7" w:tplc="F09C3F88" w:tentative="1">
      <w:start w:val="1"/>
      <w:numFmt w:val="lowerLetter"/>
      <w:lvlText w:val="%8)"/>
      <w:lvlJc w:val="left"/>
      <w:pPr>
        <w:ind w:left="3360" w:hanging="420"/>
      </w:pPr>
    </w:lvl>
    <w:lvl w:ilvl="8" w:tplc="9BC8DFF8" w:tentative="1">
      <w:start w:val="1"/>
      <w:numFmt w:val="lowerRoman"/>
      <w:lvlText w:val="%9."/>
      <w:lvlJc w:val="right"/>
      <w:pPr>
        <w:ind w:left="3780" w:hanging="420"/>
      </w:pPr>
    </w:lvl>
  </w:abstractNum>
  <w:abstractNum w:abstractNumId="1" w15:restartNumberingAfterBreak="0">
    <w:nsid w:val="007272F3"/>
    <w:multiLevelType w:val="hybridMultilevel"/>
    <w:tmpl w:val="A94C768A"/>
    <w:lvl w:ilvl="0" w:tplc="64B4AF2E">
      <w:start w:val="1"/>
      <w:numFmt w:val="chineseCountingThousand"/>
      <w:suff w:val="nothing"/>
      <w:lvlText w:val="（%1）"/>
      <w:lvlJc w:val="left"/>
      <w:pPr>
        <w:ind w:left="1140" w:hanging="720"/>
      </w:pPr>
      <w:rPr>
        <w:rFonts w:hint="eastAsia"/>
        <w:lang w:val="en-US"/>
      </w:rPr>
    </w:lvl>
    <w:lvl w:ilvl="1" w:tplc="F9724858" w:tentative="1">
      <w:start w:val="1"/>
      <w:numFmt w:val="lowerLetter"/>
      <w:lvlText w:val="%2)"/>
      <w:lvlJc w:val="left"/>
      <w:pPr>
        <w:ind w:left="1260" w:hanging="420"/>
      </w:pPr>
    </w:lvl>
    <w:lvl w:ilvl="2" w:tplc="D6B0B012" w:tentative="1">
      <w:start w:val="1"/>
      <w:numFmt w:val="lowerRoman"/>
      <w:lvlText w:val="%3."/>
      <w:lvlJc w:val="right"/>
      <w:pPr>
        <w:ind w:left="1680" w:hanging="420"/>
      </w:pPr>
    </w:lvl>
    <w:lvl w:ilvl="3" w:tplc="1EEA74AA" w:tentative="1">
      <w:start w:val="1"/>
      <w:numFmt w:val="decimal"/>
      <w:lvlText w:val="%4."/>
      <w:lvlJc w:val="left"/>
      <w:pPr>
        <w:ind w:left="2100" w:hanging="420"/>
      </w:pPr>
    </w:lvl>
    <w:lvl w:ilvl="4" w:tplc="07AA6F20" w:tentative="1">
      <w:start w:val="1"/>
      <w:numFmt w:val="lowerLetter"/>
      <w:lvlText w:val="%5)"/>
      <w:lvlJc w:val="left"/>
      <w:pPr>
        <w:ind w:left="2520" w:hanging="420"/>
      </w:pPr>
    </w:lvl>
    <w:lvl w:ilvl="5" w:tplc="AA0AD0B8" w:tentative="1">
      <w:start w:val="1"/>
      <w:numFmt w:val="lowerRoman"/>
      <w:lvlText w:val="%6."/>
      <w:lvlJc w:val="right"/>
      <w:pPr>
        <w:ind w:left="2940" w:hanging="420"/>
      </w:pPr>
    </w:lvl>
    <w:lvl w:ilvl="6" w:tplc="B83C7F8C" w:tentative="1">
      <w:start w:val="1"/>
      <w:numFmt w:val="decimal"/>
      <w:lvlText w:val="%7."/>
      <w:lvlJc w:val="left"/>
      <w:pPr>
        <w:ind w:left="3360" w:hanging="420"/>
      </w:pPr>
    </w:lvl>
    <w:lvl w:ilvl="7" w:tplc="B768ADD6" w:tentative="1">
      <w:start w:val="1"/>
      <w:numFmt w:val="lowerLetter"/>
      <w:lvlText w:val="%8)"/>
      <w:lvlJc w:val="left"/>
      <w:pPr>
        <w:ind w:left="3780" w:hanging="420"/>
      </w:pPr>
    </w:lvl>
    <w:lvl w:ilvl="8" w:tplc="756AF34A" w:tentative="1">
      <w:start w:val="1"/>
      <w:numFmt w:val="lowerRoman"/>
      <w:lvlText w:val="%9."/>
      <w:lvlJc w:val="right"/>
      <w:pPr>
        <w:ind w:left="4200" w:hanging="420"/>
      </w:pPr>
    </w:lvl>
  </w:abstractNum>
  <w:abstractNum w:abstractNumId="2" w15:restartNumberingAfterBreak="0">
    <w:nsid w:val="01FF4599"/>
    <w:multiLevelType w:val="hybridMultilevel"/>
    <w:tmpl w:val="FEF24AFC"/>
    <w:lvl w:ilvl="0" w:tplc="2500FA3A">
      <w:start w:val="1"/>
      <w:numFmt w:val="japaneseCounting"/>
      <w:lvlText w:val="%1、"/>
      <w:lvlJc w:val="left"/>
      <w:pPr>
        <w:ind w:left="840" w:hanging="420"/>
      </w:pPr>
      <w:rPr>
        <w:rFonts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80C4A8F"/>
    <w:multiLevelType w:val="hybridMultilevel"/>
    <w:tmpl w:val="63F658C8"/>
    <w:lvl w:ilvl="0" w:tplc="5684A0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48F663A"/>
    <w:multiLevelType w:val="hybridMultilevel"/>
    <w:tmpl w:val="FEF24AFC"/>
    <w:lvl w:ilvl="0" w:tplc="2500FA3A">
      <w:start w:val="1"/>
      <w:numFmt w:val="japaneseCounting"/>
      <w:lvlText w:val="%1、"/>
      <w:lvlJc w:val="left"/>
      <w:pPr>
        <w:ind w:left="840" w:hanging="420"/>
      </w:pPr>
      <w:rPr>
        <w:rFonts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51725502">
    <w:abstractNumId w:val="0"/>
  </w:num>
  <w:num w:numId="2" w16cid:durableId="1947233197">
    <w:abstractNumId w:val="4"/>
  </w:num>
  <w:num w:numId="3" w16cid:durableId="1285624580">
    <w:abstractNumId w:val="1"/>
  </w:num>
  <w:num w:numId="4" w16cid:durableId="1498498754">
    <w:abstractNumId w:val="3"/>
  </w:num>
  <w:num w:numId="5" w16cid:durableId="623536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65"/>
    <w:rsid w:val="000C6335"/>
    <w:rsid w:val="001F272A"/>
    <w:rsid w:val="00266703"/>
    <w:rsid w:val="00283DEB"/>
    <w:rsid w:val="0039328F"/>
    <w:rsid w:val="003C4AFD"/>
    <w:rsid w:val="003C74B7"/>
    <w:rsid w:val="00445428"/>
    <w:rsid w:val="00464765"/>
    <w:rsid w:val="005B613C"/>
    <w:rsid w:val="005E1B04"/>
    <w:rsid w:val="007553D2"/>
    <w:rsid w:val="007E0AC7"/>
    <w:rsid w:val="00874666"/>
    <w:rsid w:val="00927DB2"/>
    <w:rsid w:val="009833A8"/>
    <w:rsid w:val="00A309FB"/>
    <w:rsid w:val="00BB6D3F"/>
    <w:rsid w:val="00C565D3"/>
    <w:rsid w:val="00D43C1D"/>
    <w:rsid w:val="00DE5B26"/>
    <w:rsid w:val="00E06EAC"/>
    <w:rsid w:val="00EF1929"/>
    <w:rsid w:val="00F13DEB"/>
    <w:rsid w:val="00FD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FDE78"/>
  <w15:chartTrackingRefBased/>
  <w15:docId w15:val="{4FD52AD5-AE23-4828-A426-1E044842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F13DEB"/>
    <w:pPr>
      <w:widowControl/>
      <w:adjustRightInd w:val="0"/>
      <w:snapToGrid w:val="0"/>
      <w:spacing w:after="200"/>
      <w:jc w:val="left"/>
    </w:pPr>
    <w:rPr>
      <w:rFonts w:ascii="Tahoma" w:eastAsia="微软雅黑" w:hAnsi="Tahoma"/>
      <w:kern w:val="0"/>
      <w:sz w:val="22"/>
    </w:rPr>
  </w:style>
  <w:style w:type="character" w:customStyle="1" w:styleId="a4">
    <w:name w:val="批注文字 字符"/>
    <w:basedOn w:val="a0"/>
    <w:link w:val="a3"/>
    <w:uiPriority w:val="99"/>
    <w:qFormat/>
    <w:rsid w:val="00F13DEB"/>
    <w:rPr>
      <w:rFonts w:ascii="Tahoma" w:eastAsia="微软雅黑" w:hAnsi="Tahoma"/>
      <w:kern w:val="0"/>
      <w:sz w:val="22"/>
    </w:rPr>
  </w:style>
  <w:style w:type="character" w:styleId="a5">
    <w:name w:val="annotation reference"/>
    <w:uiPriority w:val="99"/>
    <w:qFormat/>
    <w:rsid w:val="00F13DEB"/>
    <w:rPr>
      <w:rFonts w:cs="Times New Roman"/>
      <w:sz w:val="21"/>
      <w:szCs w:val="21"/>
    </w:rPr>
  </w:style>
  <w:style w:type="paragraph" w:customStyle="1" w:styleId="a3-BR232658">
    <w:name w:val="a3-BR232658"/>
    <w:basedOn w:val="a"/>
    <w:uiPriority w:val="99"/>
    <w:rsid w:val="00F13DEB"/>
    <w:pPr>
      <w:ind w:firstLineChars="200" w:firstLine="420"/>
    </w:pPr>
    <w:rPr>
      <w:rFonts w:ascii="Times New Roman" w:eastAsia="宋体" w:hAnsi="Times New Roman" w:cs="Times New Roman"/>
      <w:szCs w:val="24"/>
    </w:rPr>
  </w:style>
  <w:style w:type="paragraph" w:styleId="a6">
    <w:name w:val="Balloon Text"/>
    <w:basedOn w:val="a"/>
    <w:link w:val="a7"/>
    <w:uiPriority w:val="99"/>
    <w:semiHidden/>
    <w:unhideWhenUsed/>
    <w:rsid w:val="00F13DEB"/>
    <w:rPr>
      <w:sz w:val="18"/>
      <w:szCs w:val="18"/>
    </w:rPr>
  </w:style>
  <w:style w:type="character" w:customStyle="1" w:styleId="a7">
    <w:name w:val="批注框文本 字符"/>
    <w:basedOn w:val="a0"/>
    <w:link w:val="a6"/>
    <w:uiPriority w:val="99"/>
    <w:semiHidden/>
    <w:rsid w:val="00F13DEB"/>
    <w:rPr>
      <w:sz w:val="18"/>
      <w:szCs w:val="18"/>
    </w:rPr>
  </w:style>
  <w:style w:type="paragraph" w:styleId="a8">
    <w:name w:val="List Paragraph"/>
    <w:basedOn w:val="a"/>
    <w:uiPriority w:val="34"/>
    <w:qFormat/>
    <w:rsid w:val="00927DB2"/>
    <w:pPr>
      <w:ind w:firstLineChars="200" w:firstLine="420"/>
    </w:pPr>
  </w:style>
  <w:style w:type="paragraph" w:styleId="a9">
    <w:name w:val="No Spacing"/>
    <w:uiPriority w:val="1"/>
    <w:qFormat/>
    <w:rsid w:val="00927DB2"/>
    <w:pPr>
      <w:widowControl w:val="0"/>
      <w:jc w:val="both"/>
    </w:pPr>
  </w:style>
  <w:style w:type="paragraph" w:customStyle="1" w:styleId="ae-BR677572">
    <w:name w:val="ae-BR677572"/>
    <w:basedOn w:val="a"/>
    <w:uiPriority w:val="34"/>
    <w:qFormat/>
    <w:rsid w:val="00283DEB"/>
    <w:pPr>
      <w:ind w:firstLineChars="200" w:firstLine="420"/>
    </w:pPr>
    <w:rPr>
      <w:rFonts w:ascii="Times New Roman" w:eastAsia="宋体" w:hAnsi="Times New Roman" w:cs="Times New Roman"/>
      <w:szCs w:val="24"/>
    </w:rPr>
  </w:style>
  <w:style w:type="paragraph" w:customStyle="1" w:styleId="a-BR677572">
    <w:name w:val="a-BR677572"/>
    <w:qFormat/>
    <w:rsid w:val="00283DEB"/>
    <w:pPr>
      <w:widowControl w:val="0"/>
      <w:jc w:val="both"/>
    </w:pPr>
    <w:rPr>
      <w:rFonts w:ascii="Times New Roman" w:eastAsia="宋体" w:hAnsi="Times New Roman" w:cs="Times New Roman"/>
      <w:szCs w:val="24"/>
    </w:rPr>
  </w:style>
  <w:style w:type="table" w:customStyle="1" w:styleId="a6-BR677572">
    <w:name w:val="a6-BR677572"/>
    <w:basedOn w:val="a1"/>
    <w:uiPriority w:val="39"/>
    <w:qFormat/>
    <w:rsid w:val="00283D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R836162">
    <w:name w:val="a-BR836162"/>
    <w:qFormat/>
    <w:rsid w:val="003C4AFD"/>
    <w:pPr>
      <w:widowControl w:val="0"/>
      <w:jc w:val="both"/>
    </w:pPr>
    <w:rPr>
      <w:rFonts w:ascii="Times New Roman" w:eastAsia="宋体" w:hAnsi="Times New Roman" w:cs="Times New Roman"/>
      <w:szCs w:val="24"/>
    </w:rPr>
  </w:style>
  <w:style w:type="paragraph" w:styleId="aa">
    <w:name w:val="header"/>
    <w:basedOn w:val="a"/>
    <w:link w:val="ab"/>
    <w:uiPriority w:val="99"/>
    <w:unhideWhenUsed/>
    <w:rsid w:val="00A309F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A309FB"/>
    <w:rPr>
      <w:sz w:val="18"/>
      <w:szCs w:val="18"/>
    </w:rPr>
  </w:style>
  <w:style w:type="paragraph" w:styleId="ac">
    <w:name w:val="footer"/>
    <w:basedOn w:val="a"/>
    <w:link w:val="ad"/>
    <w:uiPriority w:val="99"/>
    <w:unhideWhenUsed/>
    <w:rsid w:val="00A309FB"/>
    <w:pPr>
      <w:tabs>
        <w:tab w:val="center" w:pos="4153"/>
        <w:tab w:val="right" w:pos="8306"/>
      </w:tabs>
      <w:snapToGrid w:val="0"/>
      <w:jc w:val="left"/>
    </w:pPr>
    <w:rPr>
      <w:sz w:val="18"/>
      <w:szCs w:val="18"/>
    </w:rPr>
  </w:style>
  <w:style w:type="character" w:customStyle="1" w:styleId="ad">
    <w:name w:val="页脚 字符"/>
    <w:basedOn w:val="a0"/>
    <w:link w:val="ac"/>
    <w:uiPriority w:val="99"/>
    <w:rsid w:val="00A309FB"/>
    <w:rPr>
      <w:sz w:val="18"/>
      <w:szCs w:val="18"/>
    </w:rPr>
  </w:style>
  <w:style w:type="paragraph" w:styleId="ae">
    <w:name w:val="Date"/>
    <w:basedOn w:val="a"/>
    <w:next w:val="a"/>
    <w:link w:val="af"/>
    <w:uiPriority w:val="99"/>
    <w:semiHidden/>
    <w:unhideWhenUsed/>
    <w:rsid w:val="005E1B04"/>
    <w:pPr>
      <w:ind w:leftChars="2500" w:left="100"/>
    </w:pPr>
  </w:style>
  <w:style w:type="character" w:customStyle="1" w:styleId="af">
    <w:name w:val="日期 字符"/>
    <w:basedOn w:val="a0"/>
    <w:link w:val="ae"/>
    <w:uiPriority w:val="99"/>
    <w:semiHidden/>
    <w:rsid w:val="005E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0334">
      <w:bodyDiv w:val="1"/>
      <w:marLeft w:val="0"/>
      <w:marRight w:val="0"/>
      <w:marTop w:val="0"/>
      <w:marBottom w:val="0"/>
      <w:divBdr>
        <w:top w:val="none" w:sz="0" w:space="0" w:color="auto"/>
        <w:left w:val="none" w:sz="0" w:space="0" w:color="auto"/>
        <w:bottom w:val="none" w:sz="0" w:space="0" w:color="auto"/>
        <w:right w:val="none" w:sz="0" w:space="0" w:color="auto"/>
      </w:divBdr>
    </w:div>
    <w:div w:id="12739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pi</dc:creator>
  <cp:keywords/>
  <dc:description/>
  <cp:lastModifiedBy>1 admin</cp:lastModifiedBy>
  <cp:revision>2</cp:revision>
  <dcterms:created xsi:type="dcterms:W3CDTF">2023-10-25T01:54:00Z</dcterms:created>
  <dcterms:modified xsi:type="dcterms:W3CDTF">2023-10-25T01:54:00Z</dcterms:modified>
</cp:coreProperties>
</file>