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A79A8" w14:textId="77777777" w:rsidR="00000000" w:rsidRDefault="005E1B04" w:rsidP="00464765">
      <w:r>
        <w:rPr>
          <w:rFonts w:hint="eastAsia"/>
        </w:rPr>
        <w:t>附件：</w:t>
      </w:r>
    </w:p>
    <w:p w14:paraId="3999F02F" w14:textId="77777777" w:rsidR="005E1B04" w:rsidRDefault="005E1B04" w:rsidP="005E1B04">
      <w:pPr>
        <w:jc w:val="center"/>
        <w:rPr>
          <w:rFonts w:ascii="宋体" w:eastAsia="宋体" w:hAnsi="宋体"/>
          <w:sz w:val="24"/>
        </w:rPr>
      </w:pPr>
      <w:r w:rsidRPr="005E1B04">
        <w:rPr>
          <w:rFonts w:ascii="宋体" w:eastAsia="宋体" w:hAnsi="宋体"/>
          <w:sz w:val="24"/>
        </w:rPr>
        <w:t>锦</w:t>
      </w:r>
      <w:proofErr w:type="gramStart"/>
      <w:r w:rsidRPr="005E1B04">
        <w:rPr>
          <w:rFonts w:ascii="宋体" w:eastAsia="宋体" w:hAnsi="宋体"/>
          <w:sz w:val="24"/>
        </w:rPr>
        <w:t>悦杰腾</w:t>
      </w:r>
      <w:proofErr w:type="gramEnd"/>
      <w:r w:rsidRPr="005E1B04">
        <w:rPr>
          <w:rFonts w:ascii="宋体" w:eastAsia="宋体" w:hAnsi="宋体"/>
          <w:sz w:val="24"/>
        </w:rPr>
        <w:t>1号私募证券投资</w:t>
      </w:r>
      <w:proofErr w:type="gramStart"/>
      <w:r w:rsidRPr="005E1B04">
        <w:rPr>
          <w:rFonts w:ascii="宋体" w:eastAsia="宋体" w:hAnsi="宋体"/>
          <w:sz w:val="24"/>
        </w:rPr>
        <w:t>基金基金</w:t>
      </w:r>
      <w:proofErr w:type="gramEnd"/>
      <w:r w:rsidRPr="005E1B04">
        <w:rPr>
          <w:rFonts w:ascii="宋体" w:eastAsia="宋体" w:hAnsi="宋体"/>
          <w:sz w:val="24"/>
        </w:rPr>
        <w:t>合同修改内容</w:t>
      </w:r>
    </w:p>
    <w:p w14:paraId="619FFFDB" w14:textId="77777777" w:rsidR="005E1B04" w:rsidRPr="005E1B04" w:rsidRDefault="005E1B04" w:rsidP="005E1B04">
      <w:pPr>
        <w:jc w:val="center"/>
        <w:rPr>
          <w:rFonts w:ascii="宋体" w:eastAsia="宋体" w:hAnsi="宋体"/>
          <w:sz w:val="24"/>
        </w:rPr>
      </w:pPr>
    </w:p>
    <w:p w14:paraId="52276B05" w14:textId="77777777" w:rsidR="005E1B04" w:rsidRPr="00874666" w:rsidRDefault="005E1B04" w:rsidP="005E1B04">
      <w:pPr>
        <w:ind w:firstLineChars="200" w:firstLine="420"/>
        <w:rPr>
          <w:rFonts w:ascii="宋体" w:eastAsia="宋体" w:hAnsi="宋体"/>
        </w:rPr>
      </w:pPr>
      <w:r w:rsidRPr="00874666">
        <w:rPr>
          <w:rFonts w:ascii="宋体" w:eastAsia="宋体" w:hAnsi="宋体" w:hint="eastAsia"/>
        </w:rPr>
        <w:t>（1）</w:t>
      </w:r>
      <w:r w:rsidRPr="00874666">
        <w:rPr>
          <w:rFonts w:ascii="宋体" w:eastAsia="宋体" w:hAnsi="宋体"/>
        </w:rPr>
        <w:t>修订第</w:t>
      </w:r>
      <w:r w:rsidRPr="00874666">
        <w:rPr>
          <w:rFonts w:ascii="宋体" w:eastAsia="宋体" w:hAnsi="宋体" w:hint="eastAsia"/>
        </w:rPr>
        <w:t>四</w:t>
      </w:r>
      <w:r w:rsidRPr="00874666">
        <w:rPr>
          <w:rFonts w:ascii="宋体" w:eastAsia="宋体" w:hAnsi="宋体"/>
        </w:rPr>
        <w:t>章“私募基金的</w:t>
      </w:r>
      <w:r w:rsidRPr="00874666">
        <w:rPr>
          <w:rFonts w:ascii="宋体" w:eastAsia="宋体" w:hAnsi="宋体" w:hint="eastAsia"/>
        </w:rPr>
        <w:t>基本情况</w:t>
      </w:r>
      <w:r w:rsidRPr="00874666">
        <w:rPr>
          <w:rFonts w:ascii="宋体" w:eastAsia="宋体" w:hAnsi="宋体"/>
        </w:rPr>
        <w:t>”第（</w:t>
      </w:r>
      <w:r w:rsidRPr="00874666">
        <w:rPr>
          <w:rFonts w:ascii="宋体" w:eastAsia="宋体" w:hAnsi="宋体" w:hint="eastAsia"/>
        </w:rPr>
        <w:t>四</w:t>
      </w:r>
      <w:r w:rsidRPr="00874666">
        <w:rPr>
          <w:rFonts w:ascii="宋体" w:eastAsia="宋体" w:hAnsi="宋体"/>
        </w:rPr>
        <w:t>）条“</w:t>
      </w:r>
      <w:r w:rsidRPr="00874666">
        <w:rPr>
          <w:rFonts w:ascii="宋体" w:eastAsia="宋体" w:hAnsi="宋体" w:hint="eastAsia"/>
        </w:rPr>
        <w:t>私募基金的存续期限</w:t>
      </w:r>
      <w:r w:rsidRPr="00874666">
        <w:rPr>
          <w:rFonts w:ascii="宋体" w:eastAsia="宋体" w:hAnsi="宋体"/>
        </w:rPr>
        <w:t>”</w:t>
      </w:r>
    </w:p>
    <w:p w14:paraId="4D417F53" w14:textId="77777777" w:rsidR="005E1B04" w:rsidRPr="00874666" w:rsidRDefault="005E1B04" w:rsidP="005E1B04">
      <w:pPr>
        <w:rPr>
          <w:rFonts w:ascii="宋体" w:eastAsia="宋体" w:hAnsi="宋体"/>
        </w:rPr>
      </w:pPr>
      <w:r w:rsidRPr="00874666">
        <w:rPr>
          <w:rFonts w:ascii="宋体" w:eastAsia="宋体" w:hAnsi="宋体"/>
        </w:rPr>
        <w:t xml:space="preserve">    1、原表述：</w:t>
      </w:r>
    </w:p>
    <w:p w14:paraId="64BE6B31" w14:textId="77777777" w:rsidR="005E1B04" w:rsidRPr="00874666" w:rsidRDefault="005E1B04" w:rsidP="005E1B04">
      <w:pPr>
        <w:ind w:firstLine="420"/>
        <w:rPr>
          <w:rFonts w:ascii="宋体" w:eastAsia="宋体" w:hAnsi="宋体"/>
        </w:rPr>
      </w:pPr>
      <w:r w:rsidRPr="00874666">
        <w:rPr>
          <w:rFonts w:ascii="宋体" w:eastAsia="宋体" w:hAnsi="宋体" w:hint="eastAsia"/>
        </w:rPr>
        <w:t>“（四）私募基金的存续期限：5年。私募基金管理人根据基金运作情况，经提前30个工作日通知全体份额持有人及私募基金托管人后可提前终止本基金。”</w:t>
      </w:r>
    </w:p>
    <w:p w14:paraId="7823210C" w14:textId="77777777" w:rsidR="005E1B04" w:rsidRPr="00874666" w:rsidRDefault="005E1B04" w:rsidP="005E1B04">
      <w:pPr>
        <w:rPr>
          <w:rFonts w:ascii="宋体" w:eastAsia="宋体" w:hAnsi="宋体"/>
        </w:rPr>
      </w:pPr>
      <w:r w:rsidRPr="00874666">
        <w:rPr>
          <w:rFonts w:ascii="宋体" w:eastAsia="宋体" w:hAnsi="宋体"/>
        </w:rPr>
        <w:t xml:space="preserve">   </w:t>
      </w:r>
    </w:p>
    <w:p w14:paraId="76B7B8ED" w14:textId="77777777" w:rsidR="005E1B04" w:rsidRPr="00874666" w:rsidRDefault="005E1B04" w:rsidP="005E1B04">
      <w:pPr>
        <w:rPr>
          <w:rFonts w:ascii="宋体" w:eastAsia="宋体" w:hAnsi="宋体"/>
        </w:rPr>
      </w:pPr>
      <w:r w:rsidRPr="00874666">
        <w:rPr>
          <w:rFonts w:ascii="宋体" w:eastAsia="宋体" w:hAnsi="宋体"/>
        </w:rPr>
        <w:t xml:space="preserve">    修改为：</w:t>
      </w:r>
    </w:p>
    <w:p w14:paraId="013E47C6" w14:textId="77777777" w:rsidR="005E1B04" w:rsidRPr="00874666" w:rsidRDefault="005E1B04" w:rsidP="005E1B04">
      <w:pPr>
        <w:ind w:firstLine="420"/>
        <w:rPr>
          <w:rFonts w:ascii="宋体" w:eastAsia="宋体" w:hAnsi="宋体"/>
        </w:rPr>
      </w:pPr>
      <w:r w:rsidRPr="00874666">
        <w:rPr>
          <w:rFonts w:ascii="宋体" w:eastAsia="宋体" w:hAnsi="宋体" w:hint="eastAsia"/>
        </w:rPr>
        <w:t>“（四）私募基金的存续期限：20年。私募基金管理人根据基金运作情况，经提前</w:t>
      </w:r>
      <w:r w:rsidRPr="00874666">
        <w:rPr>
          <w:rFonts w:ascii="宋体" w:eastAsia="宋体" w:hAnsi="宋体"/>
        </w:rPr>
        <w:t>1</w:t>
      </w:r>
      <w:r w:rsidRPr="00874666">
        <w:rPr>
          <w:rFonts w:ascii="宋体" w:eastAsia="宋体" w:hAnsi="宋体" w:hint="eastAsia"/>
        </w:rPr>
        <w:t>0个工作日通知全体份额持有人及私募基金托管人后可提前终止本基金。”</w:t>
      </w:r>
    </w:p>
    <w:p w14:paraId="4D542B27" w14:textId="77777777" w:rsidR="005E1B04" w:rsidRPr="00874666" w:rsidRDefault="005E1B04" w:rsidP="005E1B04">
      <w:pPr>
        <w:rPr>
          <w:rFonts w:ascii="宋体" w:eastAsia="宋体" w:hAnsi="宋体"/>
        </w:rPr>
      </w:pPr>
    </w:p>
    <w:p w14:paraId="3108682A" w14:textId="77777777" w:rsidR="005E1B04" w:rsidRPr="00874666" w:rsidRDefault="005E1B04" w:rsidP="005E1B04">
      <w:pPr>
        <w:rPr>
          <w:rFonts w:ascii="宋体" w:eastAsia="宋体" w:hAnsi="宋体"/>
        </w:rPr>
      </w:pPr>
      <w:r w:rsidRPr="00874666">
        <w:rPr>
          <w:rFonts w:ascii="宋体" w:eastAsia="宋体" w:hAnsi="宋体"/>
        </w:rPr>
        <w:t xml:space="preserve">   （</w:t>
      </w:r>
      <w:r w:rsidRPr="00874666">
        <w:rPr>
          <w:rFonts w:ascii="宋体" w:eastAsia="宋体" w:hAnsi="宋体" w:hint="eastAsia"/>
        </w:rPr>
        <w:t>2</w:t>
      </w:r>
      <w:r w:rsidRPr="00874666">
        <w:rPr>
          <w:rFonts w:ascii="宋体" w:eastAsia="宋体" w:hAnsi="宋体"/>
        </w:rPr>
        <w:t>）</w:t>
      </w:r>
      <w:r w:rsidRPr="00874666">
        <w:rPr>
          <w:rFonts w:ascii="宋体" w:eastAsia="宋体" w:hAnsi="宋体" w:hint="eastAsia"/>
        </w:rPr>
        <w:t>修订第七章“私募基金的申购、赎回和转让”第（一）条“申购和赎回的场所、时间  2、</w:t>
      </w:r>
      <w:r w:rsidRPr="00874666">
        <w:rPr>
          <w:rFonts w:ascii="宋体" w:eastAsia="宋体" w:hAnsi="宋体"/>
          <w:szCs w:val="21"/>
        </w:rPr>
        <w:t>申购和赎</w:t>
      </w:r>
      <w:r w:rsidRPr="00874666">
        <w:rPr>
          <w:rFonts w:ascii="宋体" w:eastAsia="宋体" w:hAnsi="宋体"/>
        </w:rPr>
        <w:t>回的开放日及时间</w:t>
      </w:r>
      <w:r w:rsidRPr="00874666">
        <w:rPr>
          <w:rFonts w:ascii="宋体" w:eastAsia="宋体" w:hAnsi="宋体" w:hint="eastAsia"/>
        </w:rPr>
        <w:t>”</w:t>
      </w:r>
    </w:p>
    <w:p w14:paraId="2A90CEE7" w14:textId="77777777" w:rsidR="005E1B04" w:rsidRPr="00874666" w:rsidRDefault="005E1B04" w:rsidP="005E1B04">
      <w:pPr>
        <w:ind w:firstLineChars="200" w:firstLine="420"/>
        <w:rPr>
          <w:rFonts w:ascii="宋体" w:eastAsia="宋体" w:hAnsi="宋体"/>
        </w:rPr>
      </w:pPr>
      <w:r w:rsidRPr="00874666">
        <w:rPr>
          <w:rFonts w:ascii="宋体" w:eastAsia="宋体" w:hAnsi="宋体"/>
        </w:rPr>
        <w:t>1、原表述：</w:t>
      </w:r>
    </w:p>
    <w:p w14:paraId="105E3DE0" w14:textId="77777777" w:rsidR="005E1B04" w:rsidRPr="00874666" w:rsidRDefault="005E1B04" w:rsidP="005E1B04">
      <w:pPr>
        <w:ind w:firstLineChars="200" w:firstLine="420"/>
        <w:rPr>
          <w:rFonts w:ascii="宋体" w:eastAsia="宋体" w:hAnsi="宋体"/>
        </w:rPr>
      </w:pPr>
      <w:r w:rsidRPr="00874666">
        <w:rPr>
          <w:rFonts w:ascii="宋体" w:eastAsia="宋体" w:hAnsi="宋体" w:hint="eastAsia"/>
        </w:rPr>
        <w:t>“（一）申购和赎回的场所、时间</w:t>
      </w:r>
    </w:p>
    <w:p w14:paraId="0A787892" w14:textId="77777777" w:rsidR="005E1B04" w:rsidRPr="00874666" w:rsidRDefault="005E1B04" w:rsidP="005E1B04">
      <w:pPr>
        <w:ind w:firstLineChars="200" w:firstLine="420"/>
        <w:rPr>
          <w:rFonts w:ascii="宋体" w:eastAsia="宋体" w:hAnsi="宋体"/>
        </w:rPr>
      </w:pPr>
      <w:bookmarkStart w:id="0" w:name="_Hlk36200139"/>
      <w:r w:rsidRPr="00874666">
        <w:rPr>
          <w:rFonts w:ascii="宋体" w:eastAsia="宋体" w:hAnsi="宋体"/>
        </w:rPr>
        <w:t>2、申购和赎回的开放日及时间</w:t>
      </w:r>
    </w:p>
    <w:bookmarkEnd w:id="0"/>
    <w:p w14:paraId="4AB62360" w14:textId="77777777" w:rsidR="005E1B04" w:rsidRPr="00874666" w:rsidRDefault="005E1B04" w:rsidP="005E1B04">
      <w:pPr>
        <w:ind w:firstLineChars="200" w:firstLine="420"/>
        <w:rPr>
          <w:rFonts w:ascii="宋体" w:eastAsia="宋体" w:hAnsi="宋体"/>
        </w:rPr>
      </w:pPr>
      <w:r w:rsidRPr="00874666">
        <w:rPr>
          <w:rFonts w:ascii="宋体" w:eastAsia="宋体" w:hAnsi="宋体" w:hint="eastAsia"/>
        </w:rPr>
        <w:t>本基金自成立日起6个月内为封闭期，封闭期内原则上不开放申购赎回；基金投资者可在本基金开放日申购、赎回本基金。本基金开放日（以下简称为</w:t>
      </w:r>
      <w:r w:rsidRPr="00874666">
        <w:rPr>
          <w:rFonts w:ascii="宋体" w:eastAsia="宋体" w:hAnsi="宋体"/>
        </w:rPr>
        <w:t>T日或开放日）为封闭期结束之后的</w:t>
      </w:r>
      <w:r w:rsidRPr="00874666">
        <w:rPr>
          <w:rFonts w:ascii="宋体" w:eastAsia="宋体" w:hAnsi="宋体" w:hint="eastAsia"/>
        </w:rPr>
        <w:t>每季度最后一个交易日</w:t>
      </w:r>
      <w:r w:rsidRPr="00874666">
        <w:rPr>
          <w:rFonts w:ascii="宋体" w:eastAsia="宋体" w:hAnsi="宋体"/>
        </w:rPr>
        <w:t>。</w:t>
      </w:r>
    </w:p>
    <w:p w14:paraId="4877E567" w14:textId="77777777" w:rsidR="005E1B04" w:rsidRPr="00874666" w:rsidRDefault="005E1B04" w:rsidP="005E1B04">
      <w:pPr>
        <w:ind w:firstLineChars="200" w:firstLine="420"/>
        <w:rPr>
          <w:rFonts w:ascii="宋体" w:eastAsia="宋体" w:hAnsi="宋体"/>
        </w:rPr>
      </w:pPr>
      <w:r w:rsidRPr="00874666">
        <w:rPr>
          <w:rFonts w:ascii="宋体" w:eastAsia="宋体" w:hAnsi="宋体" w:hint="eastAsia"/>
        </w:rPr>
        <w:t>经运营服务机构同意，私募基金管理人可根据基金运作需求增设临时开放日（</w:t>
      </w:r>
      <w:bookmarkStart w:id="1" w:name="OLE_LINK33"/>
      <w:bookmarkStart w:id="2" w:name="OLE_LINK34"/>
      <w:r w:rsidRPr="00874666">
        <w:rPr>
          <w:rFonts w:ascii="宋体" w:eastAsia="宋体" w:hAnsi="宋体" w:hint="eastAsia"/>
        </w:rPr>
        <w:t>包括在封闭期内增设临时开放日</w:t>
      </w:r>
      <w:bookmarkEnd w:id="1"/>
      <w:bookmarkEnd w:id="2"/>
      <w:r w:rsidRPr="00874666">
        <w:rPr>
          <w:rFonts w:ascii="宋体" w:eastAsia="宋体" w:hAnsi="宋体" w:hint="eastAsia"/>
        </w:rPr>
        <w:t>，临时开放日可能存在计提业绩报酬的情况），私募基金管理人须提前发函通知运营服务机构及私募基金托管人，封闭期内的临时开放日仅允许申购，不允许赎回，封闭期过后的临时开放日允许申购与</w:t>
      </w:r>
      <w:r w:rsidRPr="00874666">
        <w:rPr>
          <w:rFonts w:ascii="宋体" w:eastAsia="宋体" w:hAnsi="宋体"/>
        </w:rPr>
        <w:t>/或赎回</w:t>
      </w:r>
      <w:r w:rsidRPr="00874666">
        <w:rPr>
          <w:rFonts w:ascii="宋体" w:eastAsia="宋体" w:hAnsi="宋体" w:hint="eastAsia"/>
        </w:rPr>
        <w:t>，具体以私募基金管理人公告为准。”</w:t>
      </w:r>
    </w:p>
    <w:p w14:paraId="3AA87DDB" w14:textId="77777777" w:rsidR="005E1B04" w:rsidRPr="00874666" w:rsidRDefault="005E1B04" w:rsidP="005E1B04">
      <w:pPr>
        <w:ind w:firstLineChars="200" w:firstLine="420"/>
        <w:rPr>
          <w:rFonts w:ascii="宋体" w:eastAsia="宋体" w:hAnsi="宋体"/>
        </w:rPr>
      </w:pPr>
    </w:p>
    <w:p w14:paraId="6CF10170" w14:textId="77777777" w:rsidR="005E1B04" w:rsidRPr="00874666" w:rsidRDefault="005E1B04" w:rsidP="005E1B04">
      <w:pPr>
        <w:ind w:firstLine="420"/>
        <w:rPr>
          <w:rFonts w:ascii="宋体" w:eastAsia="宋体" w:hAnsi="宋体"/>
        </w:rPr>
      </w:pPr>
      <w:r w:rsidRPr="00874666">
        <w:rPr>
          <w:rFonts w:ascii="宋体" w:eastAsia="宋体" w:hAnsi="宋体"/>
        </w:rPr>
        <w:t>修改为：</w:t>
      </w:r>
    </w:p>
    <w:p w14:paraId="74D11F71" w14:textId="77777777" w:rsidR="005E1B04" w:rsidRPr="00874666" w:rsidRDefault="005E1B04" w:rsidP="005E1B04">
      <w:pPr>
        <w:ind w:firstLineChars="200" w:firstLine="420"/>
        <w:rPr>
          <w:rFonts w:ascii="宋体" w:eastAsia="宋体" w:hAnsi="宋体"/>
        </w:rPr>
      </w:pPr>
      <w:r w:rsidRPr="00874666">
        <w:rPr>
          <w:rFonts w:ascii="宋体" w:eastAsia="宋体" w:hAnsi="宋体" w:hint="eastAsia"/>
        </w:rPr>
        <w:t>“（一）申购和赎回的场所、时间</w:t>
      </w:r>
    </w:p>
    <w:p w14:paraId="15B038B3" w14:textId="77777777" w:rsidR="005E1B04" w:rsidRPr="00874666" w:rsidRDefault="005E1B04" w:rsidP="005E1B04">
      <w:pPr>
        <w:ind w:firstLineChars="200" w:firstLine="420"/>
        <w:rPr>
          <w:rFonts w:ascii="宋体" w:eastAsia="宋体" w:hAnsi="宋体"/>
        </w:rPr>
      </w:pPr>
      <w:r w:rsidRPr="00874666">
        <w:rPr>
          <w:rFonts w:ascii="宋体" w:eastAsia="宋体" w:hAnsi="宋体"/>
        </w:rPr>
        <w:t>2、申购和赎回的开放日</w:t>
      </w:r>
      <w:r w:rsidRPr="00874666">
        <w:rPr>
          <w:rFonts w:ascii="宋体" w:eastAsia="宋体" w:hAnsi="宋体" w:hint="eastAsia"/>
        </w:rPr>
        <w:t>（以下简称为</w:t>
      </w:r>
      <w:r w:rsidRPr="00874666">
        <w:rPr>
          <w:rFonts w:ascii="宋体" w:eastAsia="宋体" w:hAnsi="宋体"/>
        </w:rPr>
        <w:t>T日或开放日）及时间</w:t>
      </w:r>
    </w:p>
    <w:tbl>
      <w:tblPr>
        <w:tblStyle w:val="a6-BR677572"/>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403"/>
        <w:gridCol w:w="5887"/>
      </w:tblGrid>
      <w:tr w:rsidR="005E1B04" w:rsidRPr="00874666" w14:paraId="6B5D5A32" w14:textId="77777777" w:rsidTr="006741AF">
        <w:tc>
          <w:tcPr>
            <w:tcW w:w="2403" w:type="dxa"/>
            <w:tcBorders>
              <w:top w:val="single" w:sz="6" w:space="0" w:color="auto"/>
              <w:left w:val="single" w:sz="6" w:space="0" w:color="auto"/>
              <w:bottom w:val="single" w:sz="6" w:space="0" w:color="auto"/>
              <w:right w:val="single" w:sz="6" w:space="0" w:color="auto"/>
            </w:tcBorders>
            <w:hideMark/>
          </w:tcPr>
          <w:p w14:paraId="247BEE3D" w14:textId="77777777" w:rsidR="005E1B04" w:rsidRPr="00874666" w:rsidRDefault="005E1B04" w:rsidP="006741AF">
            <w:pPr>
              <w:ind w:firstLineChars="200" w:firstLine="420"/>
              <w:rPr>
                <w:rFonts w:ascii="宋体" w:hAnsi="宋体" w:cstheme="minorBidi"/>
                <w:kern w:val="2"/>
                <w:sz w:val="21"/>
                <w:szCs w:val="22"/>
              </w:rPr>
            </w:pPr>
            <w:r w:rsidRPr="00874666">
              <w:rPr>
                <w:rFonts w:ascii="宋体" w:hAnsi="宋体" w:cstheme="minorBidi" w:hint="eastAsia"/>
                <w:kern w:val="2"/>
                <w:sz w:val="21"/>
                <w:szCs w:val="22"/>
              </w:rPr>
              <w:t>封闭期</w:t>
            </w:r>
          </w:p>
        </w:tc>
        <w:tc>
          <w:tcPr>
            <w:tcW w:w="5887" w:type="dxa"/>
            <w:tcBorders>
              <w:top w:val="single" w:sz="6" w:space="0" w:color="auto"/>
              <w:left w:val="single" w:sz="6" w:space="0" w:color="auto"/>
              <w:bottom w:val="single" w:sz="6" w:space="0" w:color="auto"/>
              <w:right w:val="single" w:sz="6" w:space="0" w:color="auto"/>
            </w:tcBorders>
            <w:hideMark/>
          </w:tcPr>
          <w:p w14:paraId="416F7160" w14:textId="77777777" w:rsidR="005E1B04" w:rsidRPr="00874666" w:rsidRDefault="005E1B04" w:rsidP="006741AF">
            <w:pPr>
              <w:rPr>
                <w:rFonts w:ascii="宋体" w:hAnsi="宋体" w:cstheme="minorBidi"/>
                <w:kern w:val="2"/>
                <w:sz w:val="21"/>
                <w:szCs w:val="22"/>
              </w:rPr>
            </w:pPr>
            <w:r w:rsidRPr="00874666">
              <w:rPr>
                <w:rFonts w:ascii="宋体" w:hAnsi="宋体" w:cstheme="minorBidi" w:hint="eastAsia"/>
                <w:kern w:val="2"/>
                <w:sz w:val="21"/>
                <w:szCs w:val="22"/>
              </w:rPr>
              <w:t>6个月</w:t>
            </w:r>
          </w:p>
        </w:tc>
      </w:tr>
      <w:tr w:rsidR="005E1B04" w:rsidRPr="00874666" w14:paraId="7C065099" w14:textId="77777777" w:rsidTr="006741AF">
        <w:tc>
          <w:tcPr>
            <w:tcW w:w="2403" w:type="dxa"/>
            <w:tcBorders>
              <w:top w:val="single" w:sz="6" w:space="0" w:color="auto"/>
              <w:left w:val="single" w:sz="6" w:space="0" w:color="auto"/>
              <w:bottom w:val="single" w:sz="6" w:space="0" w:color="auto"/>
              <w:right w:val="single" w:sz="6" w:space="0" w:color="auto"/>
            </w:tcBorders>
            <w:vAlign w:val="center"/>
            <w:hideMark/>
          </w:tcPr>
          <w:p w14:paraId="775A26B3" w14:textId="77777777" w:rsidR="005E1B04" w:rsidRPr="00874666" w:rsidRDefault="005E1B04" w:rsidP="006741AF">
            <w:pPr>
              <w:ind w:firstLineChars="200" w:firstLine="420"/>
              <w:rPr>
                <w:rFonts w:ascii="宋体" w:hAnsi="宋体" w:cstheme="minorBidi"/>
                <w:kern w:val="2"/>
                <w:sz w:val="21"/>
                <w:szCs w:val="22"/>
              </w:rPr>
            </w:pPr>
            <w:r w:rsidRPr="00874666">
              <w:rPr>
                <w:rFonts w:ascii="宋体" w:hAnsi="宋体" w:cstheme="minorBidi" w:hint="eastAsia"/>
                <w:kern w:val="2"/>
                <w:sz w:val="21"/>
                <w:szCs w:val="22"/>
              </w:rPr>
              <w:t>固定开放日</w:t>
            </w:r>
          </w:p>
        </w:tc>
        <w:tc>
          <w:tcPr>
            <w:tcW w:w="5887" w:type="dxa"/>
            <w:tcBorders>
              <w:top w:val="single" w:sz="6" w:space="0" w:color="auto"/>
              <w:left w:val="single" w:sz="6" w:space="0" w:color="auto"/>
              <w:bottom w:val="single" w:sz="6" w:space="0" w:color="auto"/>
              <w:right w:val="single" w:sz="6" w:space="0" w:color="auto"/>
            </w:tcBorders>
            <w:hideMark/>
          </w:tcPr>
          <w:p w14:paraId="588B88A7" w14:textId="77777777" w:rsidR="005E1B04" w:rsidRPr="00874666" w:rsidRDefault="005E1B04" w:rsidP="006741AF">
            <w:pPr>
              <w:rPr>
                <w:rFonts w:ascii="宋体" w:hAnsi="宋体" w:cstheme="minorBidi"/>
                <w:kern w:val="2"/>
                <w:sz w:val="21"/>
                <w:szCs w:val="22"/>
              </w:rPr>
            </w:pPr>
            <w:r w:rsidRPr="00874666">
              <w:rPr>
                <w:rFonts w:ascii="宋体" w:hAnsi="宋体" w:cstheme="minorBidi" w:hint="eastAsia"/>
                <w:kern w:val="2"/>
                <w:sz w:val="21"/>
                <w:szCs w:val="22"/>
              </w:rPr>
              <w:t>封闭期结束之后的</w:t>
            </w:r>
            <w:proofErr w:type="gramStart"/>
            <w:r w:rsidRPr="00874666">
              <w:rPr>
                <w:rFonts w:ascii="宋体" w:hAnsi="宋体" w:cstheme="minorBidi" w:hint="eastAsia"/>
                <w:kern w:val="2"/>
                <w:sz w:val="21"/>
                <w:szCs w:val="22"/>
              </w:rPr>
              <w:t>每自然</w:t>
            </w:r>
            <w:proofErr w:type="gramEnd"/>
            <w:r w:rsidRPr="00874666">
              <w:rPr>
                <w:rFonts w:ascii="宋体" w:hAnsi="宋体" w:cstheme="minorBidi" w:hint="eastAsia"/>
                <w:kern w:val="2"/>
                <w:sz w:val="21"/>
                <w:szCs w:val="22"/>
              </w:rPr>
              <w:t>季度末月（即3、6、9、12月）最后一个交易日。</w:t>
            </w:r>
          </w:p>
        </w:tc>
      </w:tr>
      <w:tr w:rsidR="005E1B04" w:rsidRPr="00874666" w14:paraId="6A4FCBC7" w14:textId="77777777" w:rsidTr="006741AF">
        <w:tc>
          <w:tcPr>
            <w:tcW w:w="2403" w:type="dxa"/>
            <w:tcBorders>
              <w:top w:val="single" w:sz="6" w:space="0" w:color="auto"/>
              <w:left w:val="single" w:sz="6" w:space="0" w:color="auto"/>
              <w:bottom w:val="single" w:sz="6" w:space="0" w:color="auto"/>
              <w:right w:val="single" w:sz="6" w:space="0" w:color="auto"/>
            </w:tcBorders>
            <w:hideMark/>
          </w:tcPr>
          <w:p w14:paraId="194EE6EF" w14:textId="77777777" w:rsidR="005E1B04" w:rsidRPr="00874666" w:rsidRDefault="005E1B04" w:rsidP="006741AF">
            <w:pPr>
              <w:ind w:firstLineChars="200" w:firstLine="420"/>
              <w:rPr>
                <w:rFonts w:ascii="宋体" w:hAnsi="宋体" w:cstheme="minorBidi"/>
                <w:kern w:val="2"/>
                <w:sz w:val="21"/>
                <w:szCs w:val="22"/>
              </w:rPr>
            </w:pPr>
            <w:r w:rsidRPr="00874666">
              <w:rPr>
                <w:rFonts w:ascii="宋体" w:hAnsi="宋体" w:cstheme="minorBidi" w:hint="eastAsia"/>
                <w:kern w:val="2"/>
                <w:sz w:val="21"/>
                <w:szCs w:val="22"/>
              </w:rPr>
              <w:t>份额锁定期</w:t>
            </w:r>
          </w:p>
        </w:tc>
        <w:tc>
          <w:tcPr>
            <w:tcW w:w="5887" w:type="dxa"/>
            <w:tcBorders>
              <w:top w:val="single" w:sz="6" w:space="0" w:color="auto"/>
              <w:left w:val="single" w:sz="6" w:space="0" w:color="auto"/>
              <w:bottom w:val="single" w:sz="6" w:space="0" w:color="auto"/>
              <w:right w:val="single" w:sz="6" w:space="0" w:color="auto"/>
            </w:tcBorders>
            <w:hideMark/>
          </w:tcPr>
          <w:p w14:paraId="02FE214A" w14:textId="77777777" w:rsidR="005E1B04" w:rsidRPr="00874666" w:rsidRDefault="005E1B04" w:rsidP="006741AF">
            <w:pPr>
              <w:rPr>
                <w:rFonts w:ascii="宋体" w:hAnsi="宋体" w:cstheme="minorBidi"/>
                <w:kern w:val="2"/>
                <w:sz w:val="21"/>
                <w:szCs w:val="22"/>
              </w:rPr>
            </w:pPr>
            <w:r w:rsidRPr="00874666">
              <w:rPr>
                <w:rFonts w:ascii="宋体" w:hAnsi="宋体" w:cstheme="minorBidi" w:hint="eastAsia"/>
                <w:kern w:val="2"/>
                <w:sz w:val="21"/>
                <w:szCs w:val="22"/>
              </w:rPr>
              <w:t>不设置</w:t>
            </w:r>
          </w:p>
        </w:tc>
      </w:tr>
      <w:tr w:rsidR="005E1B04" w:rsidRPr="00874666" w14:paraId="2458F4A9" w14:textId="77777777" w:rsidTr="006741AF">
        <w:tc>
          <w:tcPr>
            <w:tcW w:w="2403" w:type="dxa"/>
            <w:tcBorders>
              <w:top w:val="single" w:sz="6" w:space="0" w:color="auto"/>
              <w:left w:val="single" w:sz="6" w:space="0" w:color="auto"/>
              <w:bottom w:val="single" w:sz="6" w:space="0" w:color="auto"/>
              <w:right w:val="single" w:sz="6" w:space="0" w:color="auto"/>
            </w:tcBorders>
            <w:hideMark/>
          </w:tcPr>
          <w:p w14:paraId="12497E78" w14:textId="77777777" w:rsidR="005E1B04" w:rsidRPr="00874666" w:rsidRDefault="005E1B04" w:rsidP="006741AF">
            <w:pPr>
              <w:ind w:firstLineChars="200" w:firstLine="420"/>
              <w:rPr>
                <w:rFonts w:ascii="宋体" w:hAnsi="宋体" w:cstheme="minorBidi"/>
                <w:kern w:val="2"/>
                <w:sz w:val="21"/>
                <w:szCs w:val="22"/>
              </w:rPr>
            </w:pPr>
            <w:r w:rsidRPr="00874666">
              <w:rPr>
                <w:rFonts w:ascii="宋体" w:hAnsi="宋体" w:cstheme="minorBidi" w:hint="eastAsia"/>
                <w:kern w:val="2"/>
                <w:sz w:val="21"/>
                <w:szCs w:val="22"/>
              </w:rPr>
              <w:t>临时开放日</w:t>
            </w:r>
          </w:p>
        </w:tc>
        <w:tc>
          <w:tcPr>
            <w:tcW w:w="5887" w:type="dxa"/>
            <w:tcBorders>
              <w:top w:val="single" w:sz="6" w:space="0" w:color="auto"/>
              <w:left w:val="single" w:sz="6" w:space="0" w:color="auto"/>
              <w:bottom w:val="single" w:sz="6" w:space="0" w:color="auto"/>
              <w:right w:val="single" w:sz="6" w:space="0" w:color="auto"/>
            </w:tcBorders>
            <w:hideMark/>
          </w:tcPr>
          <w:p w14:paraId="28857EA9" w14:textId="77777777" w:rsidR="005E1B04" w:rsidRPr="00874666" w:rsidRDefault="005E1B04" w:rsidP="006741AF">
            <w:pPr>
              <w:ind w:firstLineChars="200" w:firstLine="420"/>
              <w:rPr>
                <w:rFonts w:ascii="宋体" w:hAnsi="宋体" w:cstheme="minorBidi"/>
                <w:kern w:val="2"/>
                <w:sz w:val="21"/>
                <w:szCs w:val="22"/>
              </w:rPr>
            </w:pPr>
            <w:r w:rsidRPr="00874666">
              <w:rPr>
                <w:rFonts w:ascii="宋体" w:hAnsi="宋体" w:cstheme="minorBidi" w:hint="eastAsia"/>
                <w:kern w:val="2"/>
                <w:sz w:val="21"/>
                <w:szCs w:val="22"/>
              </w:rPr>
              <w:t>除本合同另有约定外，私募基金管理人在下列情形下可根据基金运作需求增设临时开放日（包括在封闭期内增设临时开放日），具体以私募基金管理人通知为准：</w:t>
            </w:r>
            <w:bookmarkStart w:id="3" w:name="_Hlk32317332"/>
            <w:r w:rsidRPr="00874666">
              <w:rPr>
                <w:rFonts w:ascii="宋体" w:hAnsi="宋体" w:cstheme="minorBidi" w:hint="eastAsia"/>
                <w:kern w:val="2"/>
                <w:sz w:val="21"/>
                <w:szCs w:val="22"/>
              </w:rPr>
              <w:br/>
              <w:t xml:space="preserve">    1、本合同发生变更，私募基金管理人为保障份额持有人利益或为本基金运作需要，认为有必要临时开放的；</w:t>
            </w:r>
            <w:bookmarkEnd w:id="3"/>
            <w:r w:rsidRPr="00874666">
              <w:rPr>
                <w:rFonts w:ascii="宋体" w:hAnsi="宋体" w:cstheme="minorBidi" w:hint="eastAsia"/>
                <w:kern w:val="2"/>
                <w:sz w:val="21"/>
                <w:szCs w:val="22"/>
              </w:rPr>
              <w:br/>
              <w:t xml:space="preserve">    2、私募基金管理人根据基金投资者申请或本基金的实际运作情况，在对全体基金份额持有人利益无实质不利影响的前提下，认为有必要设置临时开放日的；</w:t>
            </w:r>
            <w:r w:rsidRPr="00874666">
              <w:rPr>
                <w:rFonts w:ascii="宋体" w:hAnsi="宋体" w:cstheme="minorBidi" w:hint="eastAsia"/>
                <w:kern w:val="2"/>
                <w:sz w:val="21"/>
                <w:szCs w:val="22"/>
              </w:rPr>
              <w:br/>
              <w:t xml:space="preserve">    3、法律法规规定和本合同约定的其他情形。</w:t>
            </w:r>
            <w:r w:rsidRPr="00874666">
              <w:rPr>
                <w:rFonts w:ascii="宋体" w:hAnsi="宋体" w:cstheme="minorBidi" w:hint="eastAsia"/>
                <w:kern w:val="2"/>
                <w:sz w:val="21"/>
                <w:szCs w:val="22"/>
              </w:rPr>
              <w:br/>
              <w:t xml:space="preserve">    临时开放日仅允许赎回。临时开放日可能存在计提业绩报酬的情况（如涉及）。</w:t>
            </w:r>
            <w:bookmarkStart w:id="4" w:name="_Hlk32589104"/>
            <w:r w:rsidRPr="00874666">
              <w:rPr>
                <w:rFonts w:ascii="宋体" w:hAnsi="宋体" w:cstheme="minorBidi" w:hint="eastAsia"/>
                <w:kern w:val="2"/>
                <w:sz w:val="21"/>
                <w:szCs w:val="22"/>
              </w:rPr>
              <w:t>因法律法规、金融机构监管有关规则调整、投资者不同意本基金合同变更需要退出、本基金展期等原因设</w:t>
            </w:r>
            <w:r w:rsidRPr="00874666">
              <w:rPr>
                <w:rFonts w:ascii="宋体" w:hAnsi="宋体" w:cstheme="minorBidi" w:hint="eastAsia"/>
                <w:kern w:val="2"/>
                <w:sz w:val="21"/>
                <w:szCs w:val="22"/>
              </w:rPr>
              <w:lastRenderedPageBreak/>
              <w:t>置的临时开放日，基金份额持有人不受本合同中关于基金赎回的期限限制，具体赎回规则以私募基金管理人通知为准。</w:t>
            </w:r>
            <w:r w:rsidRPr="00874666">
              <w:rPr>
                <w:rFonts w:ascii="宋体" w:hAnsi="宋体" w:cstheme="minorBidi" w:hint="eastAsia"/>
                <w:kern w:val="2"/>
                <w:sz w:val="21"/>
                <w:szCs w:val="22"/>
              </w:rPr>
              <w:br/>
              <w:t xml:space="preserve">    除非本合同另有约定，私募基金管理人有权自行决定是否在上述情形下设置临时开放日。私募基金管理人决定增设临时开放日的，应当提前发函通知私募基金托管人，并提前与运营服务机构确认临时开放的可行性。</w:t>
            </w:r>
            <w:bookmarkEnd w:id="4"/>
            <w:r w:rsidRPr="00874666">
              <w:rPr>
                <w:rFonts w:ascii="宋体" w:hAnsi="宋体" w:cstheme="minorBidi" w:hint="eastAsia"/>
                <w:kern w:val="2"/>
                <w:sz w:val="21"/>
                <w:szCs w:val="22"/>
              </w:rPr>
              <w:t>私募</w:t>
            </w:r>
            <w:r w:rsidRPr="00874666">
              <w:rPr>
                <w:rFonts w:ascii="宋体" w:hAnsi="宋体" w:cstheme="minorBidi"/>
                <w:kern w:val="2"/>
                <w:sz w:val="21"/>
                <w:szCs w:val="22"/>
              </w:rPr>
              <w:t>基金托管人、运营服务机构对于临时开放日的设置是否满足</w:t>
            </w:r>
            <w:r w:rsidRPr="00874666">
              <w:rPr>
                <w:rFonts w:ascii="宋体" w:hAnsi="宋体" w:cstheme="minorBidi" w:hint="eastAsia"/>
                <w:kern w:val="2"/>
                <w:sz w:val="21"/>
                <w:szCs w:val="22"/>
              </w:rPr>
              <w:t>上述情形</w:t>
            </w:r>
            <w:r w:rsidRPr="00874666">
              <w:rPr>
                <w:rFonts w:ascii="宋体" w:hAnsi="宋体" w:cstheme="minorBidi"/>
                <w:kern w:val="2"/>
                <w:sz w:val="21"/>
                <w:szCs w:val="22"/>
              </w:rPr>
              <w:t>不负监督义务。</w:t>
            </w:r>
          </w:p>
        </w:tc>
      </w:tr>
    </w:tbl>
    <w:p w14:paraId="03AEB404" w14:textId="77777777" w:rsidR="005E1B04" w:rsidRPr="00874666" w:rsidRDefault="005E1B04" w:rsidP="005E1B04">
      <w:pPr>
        <w:ind w:firstLine="420"/>
        <w:rPr>
          <w:rFonts w:ascii="宋体" w:eastAsia="宋体" w:hAnsi="宋体"/>
        </w:rPr>
      </w:pPr>
    </w:p>
    <w:p w14:paraId="603CAEE7" w14:textId="77777777" w:rsidR="005E1B04" w:rsidRPr="00874666" w:rsidRDefault="005E1B04" w:rsidP="005E1B04">
      <w:pPr>
        <w:rPr>
          <w:rFonts w:ascii="宋体" w:eastAsia="宋体" w:hAnsi="宋体"/>
        </w:rPr>
      </w:pPr>
      <w:r w:rsidRPr="00874666">
        <w:rPr>
          <w:rFonts w:ascii="宋体" w:eastAsia="宋体" w:hAnsi="宋体"/>
        </w:rPr>
        <w:t xml:space="preserve">   （</w:t>
      </w:r>
      <w:r w:rsidRPr="00874666">
        <w:rPr>
          <w:rFonts w:ascii="宋体" w:eastAsia="宋体" w:hAnsi="宋体" w:hint="eastAsia"/>
        </w:rPr>
        <w:t>3</w:t>
      </w:r>
      <w:r w:rsidRPr="00874666">
        <w:rPr>
          <w:rFonts w:ascii="宋体" w:eastAsia="宋体" w:hAnsi="宋体"/>
        </w:rPr>
        <w:t>）</w:t>
      </w:r>
      <w:r w:rsidRPr="00874666">
        <w:rPr>
          <w:rFonts w:ascii="宋体" w:eastAsia="宋体" w:hAnsi="宋体" w:hint="eastAsia"/>
        </w:rPr>
        <w:t>修订第七章“私募基金的申购、赎回和转让”第（五）条“申购和赎回的费率 1、申购费率”</w:t>
      </w:r>
    </w:p>
    <w:p w14:paraId="130ECFA1" w14:textId="77777777" w:rsidR="005E1B04" w:rsidRPr="00874666" w:rsidRDefault="005E1B04" w:rsidP="005E1B04">
      <w:pPr>
        <w:ind w:firstLineChars="200" w:firstLine="420"/>
        <w:rPr>
          <w:rFonts w:ascii="宋体" w:eastAsia="宋体" w:hAnsi="宋体"/>
        </w:rPr>
      </w:pPr>
      <w:r w:rsidRPr="00874666">
        <w:rPr>
          <w:rFonts w:ascii="宋体" w:eastAsia="宋体" w:hAnsi="宋体"/>
        </w:rPr>
        <w:t>1、原表述：</w:t>
      </w:r>
    </w:p>
    <w:p w14:paraId="3A4002B2" w14:textId="77777777" w:rsidR="005E1B04" w:rsidRPr="00874666" w:rsidRDefault="005E1B04" w:rsidP="005E1B04">
      <w:pPr>
        <w:ind w:firstLine="420"/>
        <w:rPr>
          <w:rFonts w:ascii="宋体" w:eastAsia="宋体" w:hAnsi="宋体"/>
        </w:rPr>
      </w:pPr>
      <w:r w:rsidRPr="00874666">
        <w:rPr>
          <w:rFonts w:ascii="宋体" w:eastAsia="宋体" w:hAnsi="宋体" w:hint="eastAsia"/>
        </w:rPr>
        <w:t>“（五）申购和赎回的费率</w:t>
      </w:r>
    </w:p>
    <w:p w14:paraId="44B42AC6" w14:textId="77777777" w:rsidR="005E1B04" w:rsidRPr="00874666" w:rsidRDefault="005E1B04" w:rsidP="005E1B04">
      <w:pPr>
        <w:ind w:firstLine="420"/>
        <w:rPr>
          <w:rFonts w:ascii="宋体" w:eastAsia="宋体" w:hAnsi="宋体"/>
        </w:rPr>
      </w:pPr>
      <w:r w:rsidRPr="00874666">
        <w:rPr>
          <w:rFonts w:ascii="宋体" w:eastAsia="宋体" w:hAnsi="宋体"/>
        </w:rPr>
        <w:t>1、申购费率</w:t>
      </w:r>
    </w:p>
    <w:p w14:paraId="4ED9CC0A" w14:textId="77777777" w:rsidR="005E1B04" w:rsidRPr="00874666" w:rsidRDefault="005E1B04" w:rsidP="005E1B04">
      <w:pPr>
        <w:ind w:firstLine="420"/>
        <w:rPr>
          <w:rFonts w:ascii="宋体" w:eastAsia="宋体" w:hAnsi="宋体"/>
        </w:rPr>
      </w:pPr>
      <w:r w:rsidRPr="00874666">
        <w:rPr>
          <w:rFonts w:ascii="宋体" w:eastAsia="宋体" w:hAnsi="宋体" w:hint="eastAsia"/>
        </w:rPr>
        <w:t>本基金申购费率为</w:t>
      </w:r>
      <w:r w:rsidRPr="00874666">
        <w:rPr>
          <w:rFonts w:ascii="宋体" w:eastAsia="宋体" w:hAnsi="宋体"/>
        </w:rPr>
        <w:t>0%</w:t>
      </w:r>
      <w:r w:rsidRPr="00874666">
        <w:rPr>
          <w:rFonts w:ascii="宋体" w:eastAsia="宋体" w:hAnsi="宋体" w:hint="eastAsia"/>
        </w:rPr>
        <w:t>。”</w:t>
      </w:r>
    </w:p>
    <w:p w14:paraId="14757ADF" w14:textId="77777777" w:rsidR="005E1B04" w:rsidRPr="00874666" w:rsidRDefault="005E1B04" w:rsidP="005E1B04">
      <w:pPr>
        <w:ind w:firstLine="420"/>
        <w:rPr>
          <w:rFonts w:ascii="宋体" w:eastAsia="宋体" w:hAnsi="宋体"/>
        </w:rPr>
      </w:pPr>
    </w:p>
    <w:p w14:paraId="79F76B50" w14:textId="77777777" w:rsidR="005E1B04" w:rsidRPr="00874666" w:rsidRDefault="005E1B04" w:rsidP="005E1B04">
      <w:pPr>
        <w:ind w:firstLineChars="200" w:firstLine="420"/>
        <w:rPr>
          <w:rFonts w:ascii="宋体" w:eastAsia="宋体" w:hAnsi="宋体"/>
        </w:rPr>
      </w:pPr>
      <w:r w:rsidRPr="00874666">
        <w:rPr>
          <w:rFonts w:ascii="宋体" w:eastAsia="宋体" w:hAnsi="宋体" w:hint="eastAsia"/>
        </w:rPr>
        <w:t>修改为：</w:t>
      </w:r>
    </w:p>
    <w:p w14:paraId="23DCE602" w14:textId="77777777" w:rsidR="005E1B04" w:rsidRPr="00874666" w:rsidRDefault="005E1B04" w:rsidP="005E1B04">
      <w:pPr>
        <w:ind w:firstLineChars="200" w:firstLine="420"/>
        <w:rPr>
          <w:rFonts w:ascii="宋体" w:eastAsia="宋体" w:hAnsi="宋体"/>
        </w:rPr>
      </w:pPr>
      <w:r w:rsidRPr="00874666">
        <w:rPr>
          <w:rFonts w:ascii="宋体" w:eastAsia="宋体" w:hAnsi="宋体" w:hint="eastAsia"/>
        </w:rPr>
        <w:t>“（五）申购和赎回的费率</w:t>
      </w:r>
    </w:p>
    <w:p w14:paraId="6C709DA3" w14:textId="77777777" w:rsidR="005E1B04" w:rsidRPr="00874666" w:rsidRDefault="005E1B04" w:rsidP="005E1B04">
      <w:pPr>
        <w:ind w:firstLineChars="200" w:firstLine="420"/>
        <w:rPr>
          <w:rFonts w:ascii="宋体" w:eastAsia="宋体" w:hAnsi="宋体"/>
        </w:rPr>
      </w:pPr>
      <w:r w:rsidRPr="00874666">
        <w:rPr>
          <w:rFonts w:ascii="宋体" w:eastAsia="宋体" w:hAnsi="宋体"/>
        </w:rPr>
        <w:t>1、申购费率</w:t>
      </w:r>
    </w:p>
    <w:p w14:paraId="375C57EC" w14:textId="77777777" w:rsidR="005E1B04" w:rsidRPr="00874666" w:rsidRDefault="005E1B04" w:rsidP="005E1B04">
      <w:pPr>
        <w:ind w:firstLineChars="200" w:firstLine="420"/>
        <w:rPr>
          <w:rFonts w:ascii="宋体" w:eastAsia="宋体" w:hAnsi="宋体"/>
        </w:rPr>
      </w:pPr>
      <w:r w:rsidRPr="00874666">
        <w:rPr>
          <w:rFonts w:ascii="宋体" w:eastAsia="宋体" w:hAnsi="宋体" w:hint="eastAsia"/>
        </w:rPr>
        <w:t>本基金申购费率为1</w:t>
      </w:r>
      <w:r w:rsidRPr="00874666">
        <w:rPr>
          <w:rFonts w:ascii="宋体" w:eastAsia="宋体" w:hAnsi="宋体"/>
        </w:rPr>
        <w:t>%</w:t>
      </w:r>
      <w:r w:rsidRPr="00874666">
        <w:rPr>
          <w:rFonts w:ascii="宋体" w:eastAsia="宋体" w:hAnsi="宋体" w:hint="eastAsia"/>
        </w:rPr>
        <w:t>。”</w:t>
      </w:r>
    </w:p>
    <w:p w14:paraId="6CA5CD2D" w14:textId="77777777" w:rsidR="005E1B04" w:rsidRPr="00874666" w:rsidRDefault="005E1B04" w:rsidP="005E1B04">
      <w:pPr>
        <w:spacing w:line="360" w:lineRule="auto"/>
        <w:ind w:firstLineChars="200" w:firstLine="420"/>
        <w:rPr>
          <w:rFonts w:ascii="宋体" w:eastAsia="宋体" w:hAnsi="宋体" w:cs="Times New Roman"/>
          <w:szCs w:val="21"/>
        </w:rPr>
      </w:pPr>
    </w:p>
    <w:p w14:paraId="2FBD2C63" w14:textId="77777777" w:rsidR="005E1B04" w:rsidRPr="00874666" w:rsidRDefault="005E1B04" w:rsidP="005E1B04">
      <w:pPr>
        <w:ind w:firstLineChars="100" w:firstLine="210"/>
        <w:rPr>
          <w:rFonts w:ascii="宋体" w:eastAsia="宋体" w:hAnsi="宋体"/>
        </w:rPr>
      </w:pPr>
      <w:r w:rsidRPr="00874666">
        <w:rPr>
          <w:rFonts w:ascii="宋体" w:eastAsia="宋体" w:hAnsi="宋体" w:hint="eastAsia"/>
        </w:rPr>
        <w:t>（4</w:t>
      </w:r>
      <w:r w:rsidRPr="00874666">
        <w:rPr>
          <w:rFonts w:ascii="宋体" w:eastAsia="宋体" w:hAnsi="宋体"/>
        </w:rPr>
        <w:t>）</w:t>
      </w:r>
      <w:r w:rsidRPr="00874666">
        <w:rPr>
          <w:rFonts w:ascii="宋体" w:eastAsia="宋体" w:hAnsi="宋体" w:hint="eastAsia"/>
        </w:rPr>
        <w:t>修订第十一章“私募基金的投资”第（二）条“投资范围”</w:t>
      </w:r>
    </w:p>
    <w:p w14:paraId="075CA151" w14:textId="77777777" w:rsidR="005E1B04" w:rsidRPr="00874666" w:rsidRDefault="005E1B04" w:rsidP="005E1B04">
      <w:pPr>
        <w:ind w:firstLineChars="200" w:firstLine="420"/>
        <w:rPr>
          <w:rFonts w:ascii="宋体" w:eastAsia="宋体" w:hAnsi="宋体"/>
        </w:rPr>
      </w:pPr>
      <w:r w:rsidRPr="00874666">
        <w:rPr>
          <w:rFonts w:ascii="宋体" w:eastAsia="宋体" w:hAnsi="宋体"/>
        </w:rPr>
        <w:t>1、原表述：</w:t>
      </w:r>
    </w:p>
    <w:p w14:paraId="07A5619E" w14:textId="77777777" w:rsidR="005E1B04" w:rsidRPr="00874666" w:rsidRDefault="005E1B04" w:rsidP="005E1B04">
      <w:pPr>
        <w:ind w:firstLineChars="200" w:firstLine="420"/>
        <w:rPr>
          <w:rFonts w:ascii="宋体" w:eastAsia="宋体" w:hAnsi="宋体"/>
        </w:rPr>
      </w:pPr>
      <w:r w:rsidRPr="00874666">
        <w:rPr>
          <w:rFonts w:ascii="宋体" w:eastAsia="宋体" w:hAnsi="宋体"/>
        </w:rPr>
        <w:t>“</w:t>
      </w:r>
      <w:r w:rsidRPr="00874666">
        <w:rPr>
          <w:rFonts w:ascii="宋体" w:eastAsia="宋体" w:hAnsi="宋体" w:hint="eastAsia"/>
        </w:rPr>
        <w:t>（二）投资范围</w:t>
      </w:r>
    </w:p>
    <w:p w14:paraId="6E9E9EEC" w14:textId="77777777" w:rsidR="005E1B04" w:rsidRPr="00874666" w:rsidRDefault="005E1B04" w:rsidP="005E1B04">
      <w:pPr>
        <w:ind w:firstLineChars="200" w:firstLine="420"/>
        <w:rPr>
          <w:rFonts w:ascii="宋体" w:eastAsia="宋体" w:hAnsi="宋体"/>
        </w:rPr>
      </w:pPr>
      <w:r w:rsidRPr="00874666">
        <w:rPr>
          <w:rFonts w:ascii="宋体" w:eastAsia="宋体" w:hAnsi="宋体" w:hint="eastAsia"/>
        </w:rPr>
        <w:t>沪深交易所发行及上市的股票（</w:t>
      </w:r>
      <w:r w:rsidRPr="00874666">
        <w:rPr>
          <w:rFonts w:ascii="宋体" w:eastAsia="宋体" w:hAnsi="宋体"/>
        </w:rPr>
        <w:t>包</w:t>
      </w:r>
      <w:r w:rsidRPr="00874666">
        <w:rPr>
          <w:rFonts w:ascii="宋体" w:eastAsia="宋体" w:hAnsi="宋体" w:hint="eastAsia"/>
        </w:rPr>
        <w:t>含新股申购）、港股通标的范围内的股票、沪深交易所发行及上市的存托凭证、证券交易所发行及上市的优先股、沪深交易所或银行间市场发行及交易的债券和资产支持证券、银行间市场发行及交易的资产支持</w:t>
      </w:r>
      <w:r w:rsidRPr="00874666">
        <w:rPr>
          <w:rFonts w:ascii="宋体" w:eastAsia="宋体" w:hAnsi="宋体"/>
        </w:rPr>
        <w:t>票据</w:t>
      </w:r>
      <w:r w:rsidRPr="00874666">
        <w:rPr>
          <w:rFonts w:ascii="宋体" w:eastAsia="宋体" w:hAnsi="宋体" w:hint="eastAsia"/>
        </w:rPr>
        <w:t>、证券公司收益凭证、债券回购、沪深交易所质押式报价回购、现金、银行存款（包括定期存款、协议存款、结构性存款及</w:t>
      </w:r>
      <w:r w:rsidRPr="00874666">
        <w:rPr>
          <w:rFonts w:ascii="宋体" w:eastAsia="宋体" w:hAnsi="宋体"/>
        </w:rPr>
        <w:t>其他银行存款</w:t>
      </w:r>
      <w:r w:rsidRPr="00874666">
        <w:rPr>
          <w:rFonts w:ascii="宋体" w:eastAsia="宋体" w:hAnsi="宋体" w:hint="eastAsia"/>
        </w:rPr>
        <w:t>）、同业存单</w:t>
      </w:r>
      <w:r w:rsidRPr="00874666">
        <w:rPr>
          <w:rFonts w:ascii="宋体" w:eastAsia="宋体" w:hAnsi="宋体"/>
        </w:rPr>
        <w:t>、</w:t>
      </w:r>
      <w:r w:rsidRPr="00874666">
        <w:rPr>
          <w:rFonts w:ascii="宋体" w:eastAsia="宋体" w:hAnsi="宋体" w:hint="eastAsia"/>
        </w:rPr>
        <w:t>融资融券、</w:t>
      </w:r>
      <w:r w:rsidRPr="00874666">
        <w:rPr>
          <w:rFonts w:ascii="宋体" w:eastAsia="宋体" w:hAnsi="宋体"/>
        </w:rPr>
        <w:t>转融通</w:t>
      </w:r>
      <w:r w:rsidRPr="00874666">
        <w:rPr>
          <w:rFonts w:ascii="宋体" w:eastAsia="宋体" w:hAnsi="宋体" w:hint="eastAsia"/>
        </w:rPr>
        <w:t>证券</w:t>
      </w:r>
      <w:r w:rsidRPr="00874666">
        <w:rPr>
          <w:rFonts w:ascii="宋体" w:eastAsia="宋体" w:hAnsi="宋体"/>
        </w:rPr>
        <w:t>出借交易</w:t>
      </w:r>
      <w:r w:rsidRPr="00874666">
        <w:rPr>
          <w:rFonts w:ascii="宋体" w:eastAsia="宋体" w:hAnsi="宋体" w:hint="eastAsia"/>
        </w:rPr>
        <w:t>（即本基金</w:t>
      </w:r>
      <w:r w:rsidRPr="00874666">
        <w:rPr>
          <w:rFonts w:ascii="宋体" w:eastAsia="宋体" w:hAnsi="宋体"/>
        </w:rPr>
        <w:t>将其持有的证券</w:t>
      </w:r>
      <w:r w:rsidRPr="00874666">
        <w:rPr>
          <w:rFonts w:ascii="宋体" w:eastAsia="宋体" w:hAnsi="宋体" w:hint="eastAsia"/>
        </w:rPr>
        <w:t>作为融券</w:t>
      </w:r>
      <w:r w:rsidRPr="00874666">
        <w:rPr>
          <w:rFonts w:ascii="宋体" w:eastAsia="宋体" w:hAnsi="宋体"/>
        </w:rPr>
        <w:t>标的证券</w:t>
      </w:r>
      <w:r w:rsidRPr="00874666">
        <w:rPr>
          <w:rFonts w:ascii="宋体" w:eastAsia="宋体" w:hAnsi="宋体" w:hint="eastAsia"/>
        </w:rPr>
        <w:t>出借</w:t>
      </w:r>
      <w:r w:rsidRPr="00874666">
        <w:rPr>
          <w:rFonts w:ascii="宋体" w:eastAsia="宋体" w:hAnsi="宋体"/>
        </w:rPr>
        <w:t>给证券金融公司</w:t>
      </w:r>
      <w:r w:rsidRPr="00874666">
        <w:rPr>
          <w:rFonts w:ascii="宋体" w:eastAsia="宋体" w:hAnsi="宋体" w:hint="eastAsia"/>
        </w:rPr>
        <w:t>）、股指期货、商品期货、国债期货、证券交易所及期货交易所上市的股票期权及商品期权、证券交易所上市的权证、上海黄金交易所上市的合约品种、</w:t>
      </w:r>
      <w:bookmarkStart w:id="5" w:name="OLE_LINK18"/>
      <w:bookmarkStart w:id="6" w:name="OLE_LINK17"/>
      <w:bookmarkStart w:id="7" w:name="OLE_LINK19"/>
      <w:r w:rsidRPr="00874666">
        <w:rPr>
          <w:rFonts w:ascii="宋体" w:eastAsia="宋体" w:hAnsi="宋体" w:hint="eastAsia"/>
        </w:rPr>
        <w:t>公募基金、银行理财产品、于基金业协会官方网站公示已登记的私募证券投资基金管理人发行的私募基金。</w:t>
      </w:r>
      <w:bookmarkEnd w:id="5"/>
      <w:bookmarkEnd w:id="6"/>
      <w:bookmarkEnd w:id="7"/>
    </w:p>
    <w:p w14:paraId="5643AA3C" w14:textId="77777777" w:rsidR="005E1B04" w:rsidRPr="00874666" w:rsidRDefault="005E1B04" w:rsidP="005E1B04">
      <w:pPr>
        <w:ind w:firstLineChars="200" w:firstLine="420"/>
        <w:rPr>
          <w:rFonts w:ascii="宋体" w:eastAsia="宋体" w:hAnsi="宋体"/>
        </w:rPr>
      </w:pPr>
      <w:r w:rsidRPr="00874666">
        <w:rPr>
          <w:rFonts w:ascii="宋体" w:eastAsia="宋体" w:hAnsi="宋体" w:hint="eastAsia"/>
        </w:rPr>
        <w:t>如法律法规或中国证监会规定私募基金管理人需取得特定资质后方可投资上述证券或金融衍生产品的，则私募基金管理人投资上述证券或金融衍生产品前应获得相应资质。</w:t>
      </w:r>
    </w:p>
    <w:p w14:paraId="7CE6AC37" w14:textId="77777777" w:rsidR="005E1B04" w:rsidRPr="00874666" w:rsidRDefault="005E1B04" w:rsidP="005E1B04">
      <w:pPr>
        <w:ind w:firstLineChars="200" w:firstLine="420"/>
        <w:rPr>
          <w:rFonts w:ascii="宋体" w:eastAsia="宋体" w:hAnsi="宋体"/>
        </w:rPr>
      </w:pPr>
      <w:r w:rsidRPr="00874666">
        <w:rPr>
          <w:rFonts w:ascii="宋体" w:eastAsia="宋体" w:hAnsi="宋体" w:hint="eastAsia"/>
        </w:rPr>
        <w:t>如需新增上述投资范围外的投资品种的，则应由全体基金份额持有人、私募基金管理人和私募基金托管人协商一致并签署补充协议对本章节内容进行变更。</w:t>
      </w:r>
      <w:r w:rsidRPr="00874666">
        <w:rPr>
          <w:rFonts w:ascii="宋体" w:eastAsia="宋体" w:hAnsi="宋体"/>
        </w:rPr>
        <w:t>”</w:t>
      </w:r>
    </w:p>
    <w:p w14:paraId="3869B3D1" w14:textId="77777777" w:rsidR="005E1B04" w:rsidRPr="00874666" w:rsidRDefault="005E1B04" w:rsidP="005E1B04">
      <w:pPr>
        <w:ind w:firstLineChars="200" w:firstLine="420"/>
        <w:rPr>
          <w:rFonts w:ascii="宋体" w:eastAsia="宋体" w:hAnsi="宋体"/>
        </w:rPr>
      </w:pPr>
    </w:p>
    <w:p w14:paraId="4A2419E3" w14:textId="77777777" w:rsidR="005E1B04" w:rsidRPr="00874666" w:rsidRDefault="005E1B04" w:rsidP="005E1B04">
      <w:pPr>
        <w:ind w:firstLineChars="200" w:firstLine="420"/>
        <w:rPr>
          <w:rFonts w:ascii="宋体" w:eastAsia="宋体" w:hAnsi="宋体"/>
        </w:rPr>
      </w:pPr>
      <w:r w:rsidRPr="00874666">
        <w:rPr>
          <w:rFonts w:ascii="宋体" w:eastAsia="宋体" w:hAnsi="宋体" w:hint="eastAsia"/>
        </w:rPr>
        <w:t>修改为：</w:t>
      </w:r>
    </w:p>
    <w:p w14:paraId="660205CF" w14:textId="77777777" w:rsidR="005E1B04" w:rsidRPr="00874666" w:rsidRDefault="005E1B04" w:rsidP="005E1B04">
      <w:pPr>
        <w:ind w:firstLineChars="200" w:firstLine="420"/>
        <w:rPr>
          <w:rFonts w:ascii="宋体" w:eastAsia="宋体" w:hAnsi="宋体"/>
        </w:rPr>
      </w:pPr>
      <w:r w:rsidRPr="00874666">
        <w:rPr>
          <w:rFonts w:ascii="宋体" w:eastAsia="宋体" w:hAnsi="宋体" w:hint="eastAsia"/>
        </w:rPr>
        <w:t>“（二）投资范围</w:t>
      </w:r>
    </w:p>
    <w:p w14:paraId="76A5C910" w14:textId="77777777" w:rsidR="005E1B04" w:rsidRPr="00874666" w:rsidRDefault="005E1B04" w:rsidP="005E1B04">
      <w:pPr>
        <w:ind w:firstLineChars="200" w:firstLine="420"/>
        <w:rPr>
          <w:rFonts w:ascii="宋体" w:eastAsia="宋体" w:hAnsi="宋体"/>
        </w:rPr>
      </w:pPr>
      <w:r w:rsidRPr="00874666">
        <w:rPr>
          <w:rFonts w:ascii="宋体" w:eastAsia="宋体" w:hAnsi="宋体" w:hint="eastAsia"/>
        </w:rPr>
        <w:t>证券交易所交易的股票（包括但不限于新股申购、优先股、上市公司非公开发行股票等）、境内与境外证券市场互联互通机制下允许投资的证券（包括但不限于股票、债券、存托凭证、基金等）、证券交易所交易的存托凭证、证券交易所或银行间市场交易的债券、证券交易所或银行间市场交易的资产支持证券、银行间市场交易的资产支持票据和标准化票据、证券公司收益凭证、债券正回购、债券逆回购、证券交易所质押式报价回购、现金、银行存款（包</w:t>
      </w:r>
      <w:r w:rsidRPr="00874666">
        <w:rPr>
          <w:rFonts w:ascii="宋体" w:eastAsia="宋体" w:hAnsi="宋体" w:hint="eastAsia"/>
        </w:rPr>
        <w:lastRenderedPageBreak/>
        <w:t>括但不限于定期存款、活期存款、协议存款、结构性存款及其他银行存款）、同业存单、融资融券交易、转融通证券出借交易（即本基金将其持有的证券作为融券标的证券出借给证券金融公司）、证券交易所及期货交易所交易的衍生品（包括但不限于期货、期权、权证等）、上海黄金交易所交易的合约品种、仅以证券公司</w:t>
      </w:r>
      <w:r w:rsidRPr="00874666">
        <w:rPr>
          <w:rFonts w:ascii="宋体" w:eastAsia="宋体" w:hAnsi="宋体"/>
        </w:rPr>
        <w:t>/期货公司/银行及其子公司为交易对手的证券期货市场场外衍生品（包括但不限于收益互换及场外期权）、公募基金、银行理财产品、信托计划、证券公司及其子公司资产管理计划、保险公司及其子公司资产管理计划、期货公司及其子公司资产管理计划、基金公司及其子公司资产管理计划、于基金业协会官方网站公示已登记的私募证券投资基金管理人发行的私募基金。</w:t>
      </w:r>
      <w:r w:rsidRPr="00874666">
        <w:rPr>
          <w:rFonts w:ascii="宋体" w:eastAsia="宋体" w:hAnsi="宋体" w:hint="eastAsia"/>
        </w:rPr>
        <w:t>”</w:t>
      </w:r>
    </w:p>
    <w:p w14:paraId="511F561C" w14:textId="77777777" w:rsidR="005E1B04" w:rsidRPr="00874666" w:rsidRDefault="005E1B04" w:rsidP="005E1B04">
      <w:pPr>
        <w:rPr>
          <w:rFonts w:ascii="宋体" w:eastAsia="宋体" w:hAnsi="宋体"/>
        </w:rPr>
      </w:pPr>
    </w:p>
    <w:p w14:paraId="3A374E35" w14:textId="77777777" w:rsidR="005E1B04" w:rsidRDefault="005E1B04" w:rsidP="00464765"/>
    <w:sectPr w:rsidR="005E1B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90C03" w14:textId="77777777" w:rsidR="00CC4650" w:rsidRDefault="00CC4650" w:rsidP="00A309FB">
      <w:r>
        <w:separator/>
      </w:r>
    </w:p>
  </w:endnote>
  <w:endnote w:type="continuationSeparator" w:id="0">
    <w:p w14:paraId="677D0BF2" w14:textId="77777777" w:rsidR="00CC4650" w:rsidRDefault="00CC4650" w:rsidP="00A30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AF54E" w14:textId="77777777" w:rsidR="00CC4650" w:rsidRDefault="00CC4650" w:rsidP="00A309FB">
      <w:r>
        <w:separator/>
      </w:r>
    </w:p>
  </w:footnote>
  <w:footnote w:type="continuationSeparator" w:id="0">
    <w:p w14:paraId="45B15780" w14:textId="77777777" w:rsidR="00CC4650" w:rsidRDefault="00CC4650" w:rsidP="00A30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E301"/>
    <w:multiLevelType w:val="hybridMultilevel"/>
    <w:tmpl w:val="5DFE2F02"/>
    <w:lvl w:ilvl="0" w:tplc="93709AE6">
      <w:start w:val="1"/>
      <w:numFmt w:val="chineseCountingThousand"/>
      <w:lvlText w:val="（%1）"/>
      <w:lvlJc w:val="right"/>
      <w:pPr>
        <w:ind w:left="420" w:hanging="420"/>
      </w:pPr>
      <w:rPr>
        <w:rFonts w:hint="eastAsia"/>
      </w:rPr>
    </w:lvl>
    <w:lvl w:ilvl="1" w:tplc="A880C3E0">
      <w:start w:val="1"/>
      <w:numFmt w:val="chineseCountingThousand"/>
      <w:suff w:val="space"/>
      <w:lvlText w:val="（%2）"/>
      <w:lvlJc w:val="left"/>
      <w:pPr>
        <w:ind w:left="840" w:hanging="420"/>
      </w:pPr>
      <w:rPr>
        <w:rFonts w:hint="eastAsia"/>
        <w:b w:val="0"/>
      </w:rPr>
    </w:lvl>
    <w:lvl w:ilvl="2" w:tplc="E4484E6A">
      <w:start w:val="1"/>
      <w:numFmt w:val="lowerRoman"/>
      <w:lvlText w:val="%3."/>
      <w:lvlJc w:val="right"/>
      <w:pPr>
        <w:ind w:left="1260" w:hanging="420"/>
      </w:pPr>
    </w:lvl>
    <w:lvl w:ilvl="3" w:tplc="98741DA6" w:tentative="1">
      <w:start w:val="1"/>
      <w:numFmt w:val="decimal"/>
      <w:lvlText w:val="%4."/>
      <w:lvlJc w:val="left"/>
      <w:pPr>
        <w:ind w:left="1680" w:hanging="420"/>
      </w:pPr>
    </w:lvl>
    <w:lvl w:ilvl="4" w:tplc="E790FE84" w:tentative="1">
      <w:start w:val="1"/>
      <w:numFmt w:val="lowerLetter"/>
      <w:lvlText w:val="%5)"/>
      <w:lvlJc w:val="left"/>
      <w:pPr>
        <w:ind w:left="2100" w:hanging="420"/>
      </w:pPr>
    </w:lvl>
    <w:lvl w:ilvl="5" w:tplc="D7C64BCA" w:tentative="1">
      <w:start w:val="1"/>
      <w:numFmt w:val="lowerRoman"/>
      <w:lvlText w:val="%6."/>
      <w:lvlJc w:val="right"/>
      <w:pPr>
        <w:ind w:left="2520" w:hanging="420"/>
      </w:pPr>
    </w:lvl>
    <w:lvl w:ilvl="6" w:tplc="F1DE5CC8" w:tentative="1">
      <w:start w:val="1"/>
      <w:numFmt w:val="decimal"/>
      <w:lvlText w:val="%7."/>
      <w:lvlJc w:val="left"/>
      <w:pPr>
        <w:ind w:left="2940" w:hanging="420"/>
      </w:pPr>
    </w:lvl>
    <w:lvl w:ilvl="7" w:tplc="F09C3F88" w:tentative="1">
      <w:start w:val="1"/>
      <w:numFmt w:val="lowerLetter"/>
      <w:lvlText w:val="%8)"/>
      <w:lvlJc w:val="left"/>
      <w:pPr>
        <w:ind w:left="3360" w:hanging="420"/>
      </w:pPr>
    </w:lvl>
    <w:lvl w:ilvl="8" w:tplc="9BC8DFF8" w:tentative="1">
      <w:start w:val="1"/>
      <w:numFmt w:val="lowerRoman"/>
      <w:lvlText w:val="%9."/>
      <w:lvlJc w:val="right"/>
      <w:pPr>
        <w:ind w:left="3780" w:hanging="420"/>
      </w:pPr>
    </w:lvl>
  </w:abstractNum>
  <w:abstractNum w:abstractNumId="1" w15:restartNumberingAfterBreak="0">
    <w:nsid w:val="007272F3"/>
    <w:multiLevelType w:val="hybridMultilevel"/>
    <w:tmpl w:val="A94C768A"/>
    <w:lvl w:ilvl="0" w:tplc="64B4AF2E">
      <w:start w:val="1"/>
      <w:numFmt w:val="chineseCountingThousand"/>
      <w:suff w:val="nothing"/>
      <w:lvlText w:val="（%1）"/>
      <w:lvlJc w:val="left"/>
      <w:pPr>
        <w:ind w:left="1140" w:hanging="720"/>
      </w:pPr>
      <w:rPr>
        <w:rFonts w:hint="eastAsia"/>
        <w:lang w:val="en-US"/>
      </w:rPr>
    </w:lvl>
    <w:lvl w:ilvl="1" w:tplc="F9724858" w:tentative="1">
      <w:start w:val="1"/>
      <w:numFmt w:val="lowerLetter"/>
      <w:lvlText w:val="%2)"/>
      <w:lvlJc w:val="left"/>
      <w:pPr>
        <w:ind w:left="1260" w:hanging="420"/>
      </w:pPr>
    </w:lvl>
    <w:lvl w:ilvl="2" w:tplc="D6B0B012" w:tentative="1">
      <w:start w:val="1"/>
      <w:numFmt w:val="lowerRoman"/>
      <w:lvlText w:val="%3."/>
      <w:lvlJc w:val="right"/>
      <w:pPr>
        <w:ind w:left="1680" w:hanging="420"/>
      </w:pPr>
    </w:lvl>
    <w:lvl w:ilvl="3" w:tplc="1EEA74AA" w:tentative="1">
      <w:start w:val="1"/>
      <w:numFmt w:val="decimal"/>
      <w:lvlText w:val="%4."/>
      <w:lvlJc w:val="left"/>
      <w:pPr>
        <w:ind w:left="2100" w:hanging="420"/>
      </w:pPr>
    </w:lvl>
    <w:lvl w:ilvl="4" w:tplc="07AA6F20" w:tentative="1">
      <w:start w:val="1"/>
      <w:numFmt w:val="lowerLetter"/>
      <w:lvlText w:val="%5)"/>
      <w:lvlJc w:val="left"/>
      <w:pPr>
        <w:ind w:left="2520" w:hanging="420"/>
      </w:pPr>
    </w:lvl>
    <w:lvl w:ilvl="5" w:tplc="AA0AD0B8" w:tentative="1">
      <w:start w:val="1"/>
      <w:numFmt w:val="lowerRoman"/>
      <w:lvlText w:val="%6."/>
      <w:lvlJc w:val="right"/>
      <w:pPr>
        <w:ind w:left="2940" w:hanging="420"/>
      </w:pPr>
    </w:lvl>
    <w:lvl w:ilvl="6" w:tplc="B83C7F8C" w:tentative="1">
      <w:start w:val="1"/>
      <w:numFmt w:val="decimal"/>
      <w:lvlText w:val="%7."/>
      <w:lvlJc w:val="left"/>
      <w:pPr>
        <w:ind w:left="3360" w:hanging="420"/>
      </w:pPr>
    </w:lvl>
    <w:lvl w:ilvl="7" w:tplc="B768ADD6" w:tentative="1">
      <w:start w:val="1"/>
      <w:numFmt w:val="lowerLetter"/>
      <w:lvlText w:val="%8)"/>
      <w:lvlJc w:val="left"/>
      <w:pPr>
        <w:ind w:left="3780" w:hanging="420"/>
      </w:pPr>
    </w:lvl>
    <w:lvl w:ilvl="8" w:tplc="756AF34A" w:tentative="1">
      <w:start w:val="1"/>
      <w:numFmt w:val="lowerRoman"/>
      <w:lvlText w:val="%9."/>
      <w:lvlJc w:val="right"/>
      <w:pPr>
        <w:ind w:left="4200" w:hanging="420"/>
      </w:pPr>
    </w:lvl>
  </w:abstractNum>
  <w:abstractNum w:abstractNumId="2" w15:restartNumberingAfterBreak="0">
    <w:nsid w:val="01FF4599"/>
    <w:multiLevelType w:val="hybridMultilevel"/>
    <w:tmpl w:val="FEF24AFC"/>
    <w:lvl w:ilvl="0" w:tplc="2500FA3A">
      <w:start w:val="1"/>
      <w:numFmt w:val="japaneseCounting"/>
      <w:lvlText w:val="%1、"/>
      <w:lvlJc w:val="left"/>
      <w:pPr>
        <w:ind w:left="840" w:hanging="420"/>
      </w:pPr>
      <w:rPr>
        <w:rFonts w:hint="default"/>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80C4A8F"/>
    <w:multiLevelType w:val="hybridMultilevel"/>
    <w:tmpl w:val="63F658C8"/>
    <w:lvl w:ilvl="0" w:tplc="5684A0B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748F663A"/>
    <w:multiLevelType w:val="hybridMultilevel"/>
    <w:tmpl w:val="FEF24AFC"/>
    <w:lvl w:ilvl="0" w:tplc="2500FA3A">
      <w:start w:val="1"/>
      <w:numFmt w:val="japaneseCounting"/>
      <w:lvlText w:val="%1、"/>
      <w:lvlJc w:val="left"/>
      <w:pPr>
        <w:ind w:left="840" w:hanging="420"/>
      </w:pPr>
      <w:rPr>
        <w:rFonts w:hint="default"/>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485127804">
    <w:abstractNumId w:val="0"/>
  </w:num>
  <w:num w:numId="2" w16cid:durableId="412169636">
    <w:abstractNumId w:val="4"/>
  </w:num>
  <w:num w:numId="3" w16cid:durableId="1751269677">
    <w:abstractNumId w:val="1"/>
  </w:num>
  <w:num w:numId="4" w16cid:durableId="514537802">
    <w:abstractNumId w:val="3"/>
  </w:num>
  <w:num w:numId="5" w16cid:durableId="2073577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765"/>
    <w:rsid w:val="000C6335"/>
    <w:rsid w:val="00283DEB"/>
    <w:rsid w:val="003C4AFD"/>
    <w:rsid w:val="003C74B7"/>
    <w:rsid w:val="00464765"/>
    <w:rsid w:val="005B613C"/>
    <w:rsid w:val="005E1B04"/>
    <w:rsid w:val="007553D2"/>
    <w:rsid w:val="007E0AC7"/>
    <w:rsid w:val="00874666"/>
    <w:rsid w:val="00927DB2"/>
    <w:rsid w:val="009833A8"/>
    <w:rsid w:val="00A309FB"/>
    <w:rsid w:val="00C565D3"/>
    <w:rsid w:val="00CC4650"/>
    <w:rsid w:val="00D43C1D"/>
    <w:rsid w:val="00DE5B26"/>
    <w:rsid w:val="00E06EAC"/>
    <w:rsid w:val="00E85E60"/>
    <w:rsid w:val="00F13DEB"/>
    <w:rsid w:val="00FD1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13E5A"/>
  <w15:chartTrackingRefBased/>
  <w15:docId w15:val="{4FD52AD5-AE23-4828-A426-1E044842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F13DEB"/>
    <w:pPr>
      <w:widowControl/>
      <w:adjustRightInd w:val="0"/>
      <w:snapToGrid w:val="0"/>
      <w:spacing w:after="200"/>
      <w:jc w:val="left"/>
    </w:pPr>
    <w:rPr>
      <w:rFonts w:ascii="Tahoma" w:eastAsia="微软雅黑" w:hAnsi="Tahoma"/>
      <w:kern w:val="0"/>
      <w:sz w:val="22"/>
    </w:rPr>
  </w:style>
  <w:style w:type="character" w:customStyle="1" w:styleId="a4">
    <w:name w:val="批注文字 字符"/>
    <w:basedOn w:val="a0"/>
    <w:link w:val="a3"/>
    <w:uiPriority w:val="99"/>
    <w:qFormat/>
    <w:rsid w:val="00F13DEB"/>
    <w:rPr>
      <w:rFonts w:ascii="Tahoma" w:eastAsia="微软雅黑" w:hAnsi="Tahoma"/>
      <w:kern w:val="0"/>
      <w:sz w:val="22"/>
    </w:rPr>
  </w:style>
  <w:style w:type="character" w:styleId="a5">
    <w:name w:val="annotation reference"/>
    <w:uiPriority w:val="99"/>
    <w:qFormat/>
    <w:rsid w:val="00F13DEB"/>
    <w:rPr>
      <w:rFonts w:cs="Times New Roman"/>
      <w:sz w:val="21"/>
      <w:szCs w:val="21"/>
    </w:rPr>
  </w:style>
  <w:style w:type="paragraph" w:customStyle="1" w:styleId="a3-BR232658">
    <w:name w:val="a3-BR232658"/>
    <w:basedOn w:val="a"/>
    <w:uiPriority w:val="99"/>
    <w:rsid w:val="00F13DEB"/>
    <w:pPr>
      <w:ind w:firstLineChars="200" w:firstLine="420"/>
    </w:pPr>
    <w:rPr>
      <w:rFonts w:ascii="Times New Roman" w:eastAsia="宋体" w:hAnsi="Times New Roman" w:cs="Times New Roman"/>
      <w:szCs w:val="24"/>
    </w:rPr>
  </w:style>
  <w:style w:type="paragraph" w:styleId="a6">
    <w:name w:val="Balloon Text"/>
    <w:basedOn w:val="a"/>
    <w:link w:val="a7"/>
    <w:uiPriority w:val="99"/>
    <w:semiHidden/>
    <w:unhideWhenUsed/>
    <w:rsid w:val="00F13DEB"/>
    <w:rPr>
      <w:sz w:val="18"/>
      <w:szCs w:val="18"/>
    </w:rPr>
  </w:style>
  <w:style w:type="character" w:customStyle="1" w:styleId="a7">
    <w:name w:val="批注框文本 字符"/>
    <w:basedOn w:val="a0"/>
    <w:link w:val="a6"/>
    <w:uiPriority w:val="99"/>
    <w:semiHidden/>
    <w:rsid w:val="00F13DEB"/>
    <w:rPr>
      <w:sz w:val="18"/>
      <w:szCs w:val="18"/>
    </w:rPr>
  </w:style>
  <w:style w:type="paragraph" w:styleId="a8">
    <w:name w:val="List Paragraph"/>
    <w:basedOn w:val="a"/>
    <w:uiPriority w:val="34"/>
    <w:qFormat/>
    <w:rsid w:val="00927DB2"/>
    <w:pPr>
      <w:ind w:firstLineChars="200" w:firstLine="420"/>
    </w:pPr>
  </w:style>
  <w:style w:type="paragraph" w:styleId="a9">
    <w:name w:val="No Spacing"/>
    <w:uiPriority w:val="1"/>
    <w:qFormat/>
    <w:rsid w:val="00927DB2"/>
    <w:pPr>
      <w:widowControl w:val="0"/>
      <w:jc w:val="both"/>
    </w:pPr>
  </w:style>
  <w:style w:type="paragraph" w:customStyle="1" w:styleId="ae-BR677572">
    <w:name w:val="ae-BR677572"/>
    <w:basedOn w:val="a"/>
    <w:uiPriority w:val="34"/>
    <w:qFormat/>
    <w:rsid w:val="00283DEB"/>
    <w:pPr>
      <w:ind w:firstLineChars="200" w:firstLine="420"/>
    </w:pPr>
    <w:rPr>
      <w:rFonts w:ascii="Times New Roman" w:eastAsia="宋体" w:hAnsi="Times New Roman" w:cs="Times New Roman"/>
      <w:szCs w:val="24"/>
    </w:rPr>
  </w:style>
  <w:style w:type="paragraph" w:customStyle="1" w:styleId="a-BR677572">
    <w:name w:val="a-BR677572"/>
    <w:qFormat/>
    <w:rsid w:val="00283DEB"/>
    <w:pPr>
      <w:widowControl w:val="0"/>
      <w:jc w:val="both"/>
    </w:pPr>
    <w:rPr>
      <w:rFonts w:ascii="Times New Roman" w:eastAsia="宋体" w:hAnsi="Times New Roman" w:cs="Times New Roman"/>
      <w:szCs w:val="24"/>
    </w:rPr>
  </w:style>
  <w:style w:type="table" w:customStyle="1" w:styleId="a6-BR677572">
    <w:name w:val="a6-BR677572"/>
    <w:basedOn w:val="a1"/>
    <w:uiPriority w:val="39"/>
    <w:qFormat/>
    <w:rsid w:val="00283DE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R836162">
    <w:name w:val="a-BR836162"/>
    <w:qFormat/>
    <w:rsid w:val="003C4AFD"/>
    <w:pPr>
      <w:widowControl w:val="0"/>
      <w:jc w:val="both"/>
    </w:pPr>
    <w:rPr>
      <w:rFonts w:ascii="Times New Roman" w:eastAsia="宋体" w:hAnsi="Times New Roman" w:cs="Times New Roman"/>
      <w:szCs w:val="24"/>
    </w:rPr>
  </w:style>
  <w:style w:type="paragraph" w:styleId="aa">
    <w:name w:val="header"/>
    <w:basedOn w:val="a"/>
    <w:link w:val="ab"/>
    <w:uiPriority w:val="99"/>
    <w:unhideWhenUsed/>
    <w:rsid w:val="00A309FB"/>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A309FB"/>
    <w:rPr>
      <w:sz w:val="18"/>
      <w:szCs w:val="18"/>
    </w:rPr>
  </w:style>
  <w:style w:type="paragraph" w:styleId="ac">
    <w:name w:val="footer"/>
    <w:basedOn w:val="a"/>
    <w:link w:val="ad"/>
    <w:uiPriority w:val="99"/>
    <w:unhideWhenUsed/>
    <w:rsid w:val="00A309FB"/>
    <w:pPr>
      <w:tabs>
        <w:tab w:val="center" w:pos="4153"/>
        <w:tab w:val="right" w:pos="8306"/>
      </w:tabs>
      <w:snapToGrid w:val="0"/>
      <w:jc w:val="left"/>
    </w:pPr>
    <w:rPr>
      <w:sz w:val="18"/>
      <w:szCs w:val="18"/>
    </w:rPr>
  </w:style>
  <w:style w:type="character" w:customStyle="1" w:styleId="ad">
    <w:name w:val="页脚 字符"/>
    <w:basedOn w:val="a0"/>
    <w:link w:val="ac"/>
    <w:uiPriority w:val="99"/>
    <w:rsid w:val="00A309FB"/>
    <w:rPr>
      <w:sz w:val="18"/>
      <w:szCs w:val="18"/>
    </w:rPr>
  </w:style>
  <w:style w:type="paragraph" w:styleId="ae">
    <w:name w:val="Date"/>
    <w:basedOn w:val="a"/>
    <w:next w:val="a"/>
    <w:link w:val="af"/>
    <w:uiPriority w:val="99"/>
    <w:semiHidden/>
    <w:unhideWhenUsed/>
    <w:rsid w:val="005E1B04"/>
    <w:pPr>
      <w:ind w:leftChars="2500" w:left="100"/>
    </w:pPr>
  </w:style>
  <w:style w:type="character" w:customStyle="1" w:styleId="af">
    <w:name w:val="日期 字符"/>
    <w:basedOn w:val="a0"/>
    <w:link w:val="ae"/>
    <w:uiPriority w:val="99"/>
    <w:semiHidden/>
    <w:rsid w:val="005E1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pi</dc:creator>
  <cp:keywords/>
  <dc:description/>
  <cp:lastModifiedBy>1 admin</cp:lastModifiedBy>
  <cp:revision>2</cp:revision>
  <dcterms:created xsi:type="dcterms:W3CDTF">2023-09-19T03:19:00Z</dcterms:created>
  <dcterms:modified xsi:type="dcterms:W3CDTF">2023-09-19T03:19:00Z</dcterms:modified>
</cp:coreProperties>
</file>